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75" w:rsidRPr="00EA7F5A" w:rsidRDefault="00662D75" w:rsidP="00662D75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EA7F5A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="003E11C2">
        <w:rPr>
          <w:bCs/>
          <w:i/>
          <w:iCs/>
          <w:color w:val="0000FF"/>
          <w:sz w:val="26"/>
          <w:szCs w:val="26"/>
        </w:rPr>
        <w:t xml:space="preserve"> </w:t>
      </w:r>
      <w:r w:rsidRPr="00EA7F5A">
        <w:rPr>
          <w:bCs/>
          <w:i/>
          <w:iCs/>
          <w:color w:val="0000FF"/>
          <w:sz w:val="26"/>
          <w:szCs w:val="26"/>
        </w:rPr>
        <w:t xml:space="preserve"> «Развитие судостроения и техники для освоения шельфовых месторождений на 2013-2030 годы»</w:t>
      </w:r>
    </w:p>
    <w:p w:rsidR="00662D75" w:rsidRPr="00EA7F5A" w:rsidRDefault="00662D75" w:rsidP="00662D75">
      <w:pPr>
        <w:keepNext/>
        <w:spacing w:before="120"/>
        <w:jc w:val="right"/>
        <w:outlineLvl w:val="1"/>
        <w:rPr>
          <w:b/>
          <w:bCs/>
          <w:i/>
          <w:iCs/>
          <w:color w:val="0000FF"/>
          <w:sz w:val="26"/>
          <w:szCs w:val="26"/>
        </w:rPr>
      </w:pPr>
      <w:r w:rsidRPr="00EA7F5A">
        <w:rPr>
          <w:b/>
          <w:bCs/>
          <w:i/>
          <w:iCs/>
          <w:color w:val="0000FF"/>
          <w:sz w:val="26"/>
          <w:szCs w:val="26"/>
        </w:rPr>
        <w:t>Подпрограмма 1.</w:t>
      </w:r>
    </w:p>
    <w:p w:rsidR="00662D75" w:rsidRPr="00EA7F5A" w:rsidRDefault="00662D75" w:rsidP="00662D75">
      <w:pPr>
        <w:spacing w:after="120"/>
        <w:jc w:val="right"/>
        <w:rPr>
          <w:i/>
          <w:color w:val="0000FF"/>
          <w:sz w:val="26"/>
          <w:szCs w:val="26"/>
        </w:rPr>
      </w:pPr>
      <w:r w:rsidRPr="00EA7F5A">
        <w:rPr>
          <w:i/>
          <w:color w:val="0000FF"/>
          <w:sz w:val="26"/>
          <w:szCs w:val="26"/>
        </w:rPr>
        <w:t xml:space="preserve">Направление </w:t>
      </w:r>
      <w:r w:rsidR="001E5BC7">
        <w:rPr>
          <w:i/>
          <w:color w:val="0000FF"/>
          <w:sz w:val="26"/>
          <w:szCs w:val="26"/>
        </w:rPr>
        <w:t>6</w:t>
      </w:r>
      <w:r w:rsidRPr="00EA7F5A">
        <w:rPr>
          <w:i/>
          <w:color w:val="0000FF"/>
          <w:sz w:val="26"/>
          <w:szCs w:val="26"/>
        </w:rPr>
        <w:t xml:space="preserve"> «Системные исследования»</w:t>
      </w:r>
    </w:p>
    <w:p w:rsidR="00E5314D" w:rsidRPr="00E3177F" w:rsidRDefault="00E5314D" w:rsidP="00662D75">
      <w:pPr>
        <w:keepNext/>
        <w:spacing w:after="60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 w:rsidRPr="00E3177F">
        <w:rPr>
          <w:rFonts w:cs="Arial"/>
          <w:b/>
          <w:bCs/>
          <w:i/>
          <w:iCs/>
          <w:sz w:val="28"/>
          <w:szCs w:val="28"/>
          <w:u w:val="single"/>
        </w:rPr>
        <w:t>НИР «</w:t>
      </w:r>
      <w:r w:rsidR="001E5BC7">
        <w:rPr>
          <w:rFonts w:cs="Arial"/>
          <w:b/>
          <w:bCs/>
          <w:i/>
          <w:iCs/>
          <w:sz w:val="28"/>
          <w:szCs w:val="28"/>
          <w:u w:val="single"/>
        </w:rPr>
        <w:t>ОМЕГА 35-2</w:t>
      </w:r>
      <w:r w:rsidRPr="00E3177F">
        <w:rPr>
          <w:rFonts w:cs="Arial"/>
          <w:b/>
          <w:bCs/>
          <w:i/>
          <w:iCs/>
          <w:sz w:val="28"/>
          <w:szCs w:val="28"/>
          <w:u w:val="single"/>
        </w:rPr>
        <w:t>»</w:t>
      </w:r>
    </w:p>
    <w:p w:rsidR="001E5BC7" w:rsidRPr="00E617AB" w:rsidRDefault="001E5BC7" w:rsidP="00E5314D">
      <w:pPr>
        <w:jc w:val="both"/>
        <w:rPr>
          <w:i/>
        </w:rPr>
      </w:pPr>
      <w:r>
        <w:rPr>
          <w:i/>
        </w:rPr>
        <w:t xml:space="preserve"> «</w:t>
      </w:r>
      <w:r w:rsidRPr="001E5BC7">
        <w:rPr>
          <w:i/>
        </w:rPr>
        <w:t>Проведение системных исследований, выработка и обоснование основных направлений развития судостроительной промышленности России на долгосрочную перспективу на основе комплексного анализа фактического уровня и прогноза развития ее научного, опытно-конструкторского и производственного потенциала, формирование планов и программ ее развития</w:t>
      </w:r>
      <w:r>
        <w:rPr>
          <w:i/>
        </w:rPr>
        <w:t>»</w:t>
      </w:r>
    </w:p>
    <w:p w:rsidR="00E5314D" w:rsidRPr="00E62A0E" w:rsidRDefault="00E5314D" w:rsidP="00E5314D">
      <w:pPr>
        <w:pStyle w:val="2"/>
        <w:spacing w:before="60" w:line="480" w:lineRule="auto"/>
        <w:ind w:left="360"/>
        <w:jc w:val="right"/>
        <w:rPr>
          <w:i/>
          <w:color w:val="000000"/>
        </w:rPr>
      </w:pPr>
      <w:r>
        <w:rPr>
          <w:b/>
          <w:i/>
          <w:szCs w:val="24"/>
        </w:rPr>
        <w:t xml:space="preserve">Головной исполнитель – </w:t>
      </w:r>
      <w:r w:rsidR="00D253B6" w:rsidRPr="00D253B6">
        <w:rPr>
          <w:b/>
          <w:i/>
          <w:szCs w:val="24"/>
        </w:rPr>
        <w:t>ФГУП «Крыловский государственный научный центр»</w:t>
      </w:r>
    </w:p>
    <w:p w:rsidR="00E5314D" w:rsidRPr="00067997" w:rsidRDefault="00E5314D" w:rsidP="00E5314D">
      <w:pPr>
        <w:spacing w:after="120"/>
        <w:rPr>
          <w:b/>
          <w:sz w:val="26"/>
          <w:szCs w:val="26"/>
          <w:u w:val="single"/>
          <w:lang w:val="en-US"/>
        </w:rPr>
      </w:pPr>
      <w:r w:rsidRPr="00067997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:rsidR="00C07F8B" w:rsidRPr="00067997" w:rsidRDefault="00B946A7" w:rsidP="0069645C">
      <w:pPr>
        <w:pStyle w:val="a3"/>
        <w:numPr>
          <w:ilvl w:val="0"/>
          <w:numId w:val="6"/>
        </w:numPr>
        <w:spacing w:after="0"/>
        <w:jc w:val="both"/>
        <w:rPr>
          <w:bCs/>
          <w:iCs/>
          <w:sz w:val="26"/>
          <w:szCs w:val="26"/>
        </w:rPr>
      </w:pPr>
      <w:r w:rsidRPr="00067997">
        <w:rPr>
          <w:bCs/>
          <w:iCs/>
          <w:sz w:val="26"/>
          <w:szCs w:val="26"/>
        </w:rPr>
        <w:t>П</w:t>
      </w:r>
      <w:r w:rsidR="00C07F8B" w:rsidRPr="00067997">
        <w:rPr>
          <w:bCs/>
          <w:iCs/>
          <w:sz w:val="26"/>
          <w:szCs w:val="26"/>
        </w:rPr>
        <w:t>редставлены результаты анализа реализации Стратегии развития судостроительной промышленности на период до 2020 года и на дальнейшую перспективу и предложения</w:t>
      </w:r>
      <w:r w:rsidRPr="00067997">
        <w:rPr>
          <w:bCs/>
          <w:iCs/>
          <w:sz w:val="26"/>
          <w:szCs w:val="26"/>
        </w:rPr>
        <w:t xml:space="preserve"> по ее уточнению и актуализации.</w:t>
      </w:r>
    </w:p>
    <w:p w:rsidR="00C07F8B" w:rsidRPr="00067997" w:rsidRDefault="00C07F8B" w:rsidP="0069645C">
      <w:pPr>
        <w:pStyle w:val="a3"/>
        <w:spacing w:after="0"/>
        <w:jc w:val="both"/>
        <w:rPr>
          <w:bCs/>
          <w:iCs/>
          <w:sz w:val="26"/>
          <w:szCs w:val="26"/>
          <w:lang w:val="en-US"/>
        </w:rPr>
      </w:pPr>
      <w:r w:rsidRPr="000679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0A9BD" wp14:editId="185CC0B5">
                <wp:simplePos x="0" y="0"/>
                <wp:positionH relativeFrom="column">
                  <wp:posOffset>2800350</wp:posOffset>
                </wp:positionH>
                <wp:positionV relativeFrom="paragraph">
                  <wp:posOffset>1746885</wp:posOffset>
                </wp:positionV>
                <wp:extent cx="3603625" cy="276860"/>
                <wp:effectExtent l="0" t="0" r="0" b="0"/>
                <wp:wrapNone/>
                <wp:docPr id="14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62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69D3" w:rsidRPr="00C07F8B" w:rsidRDefault="003969D3" w:rsidP="00C07F8B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7F8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Выработка в промышленности, </w:t>
                            </w:r>
                            <w:proofErr w:type="spellStart"/>
                            <w:r w:rsidRPr="00C07F8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тыс.руб</w:t>
                            </w:r>
                            <w:proofErr w:type="spellEnd"/>
                            <w:r w:rsidRPr="00C07F8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./чел</w:t>
                            </w:r>
                            <w:r w:rsidRPr="00C07F8B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EEECE1" w:themeColor="background2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left:0;text-align:left;margin-left:220.5pt;margin-top:137.55pt;width:283.75pt;height:21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" filled="f" stroked="f">
                <v:textbox style="mso-fit-shape-to-text:t">
                  <w:txbxContent>
                    <w:p w:rsidR="003969D3" w:rsidRPr="00C07F8B" w:rsidRDefault="003969D3" w:rsidP="00C07F8B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07F8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Выработка в промышленности, </w:t>
                      </w:r>
                      <w:proofErr w:type="spellStart"/>
                      <w:r w:rsidRPr="00C07F8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тыс.руб</w:t>
                      </w:r>
                      <w:proofErr w:type="spellEnd"/>
                      <w:r w:rsidRPr="00C07F8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./чел</w:t>
                      </w:r>
                      <w:r w:rsidRPr="00C07F8B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EEECE1" w:themeColor="background2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067997">
        <w:rPr>
          <w:bCs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99BC6" wp14:editId="3DB9C15D">
                <wp:simplePos x="0" y="0"/>
                <wp:positionH relativeFrom="column">
                  <wp:posOffset>-380365</wp:posOffset>
                </wp:positionH>
                <wp:positionV relativeFrom="paragraph">
                  <wp:posOffset>1746885</wp:posOffset>
                </wp:positionV>
                <wp:extent cx="3514725" cy="645795"/>
                <wp:effectExtent l="0" t="0" r="0" b="0"/>
                <wp:wrapNone/>
                <wp:docPr id="16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69D3" w:rsidRPr="00C07F8B" w:rsidRDefault="003969D3" w:rsidP="00C07F8B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7F8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Объемы производства продукции отечественной судостроительной промышленности (увеличение по отношению к 2015 году)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27" style="position:absolute;left:0;text-align:left;margin-left:-29.95pt;margin-top:137.55pt;width:276.75pt;height:50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" filled="f" stroked="f">
                <v:textbox style="mso-fit-shape-to-text:t">
                  <w:txbxContent>
                    <w:p w:rsidR="003969D3" w:rsidRPr="00C07F8B" w:rsidRDefault="003969D3" w:rsidP="00C07F8B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07F8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Объемы производства продукции отечественной судостроительной промышленности (увеличение по отношению к 2015 году)</w:t>
                      </w:r>
                    </w:p>
                  </w:txbxContent>
                </v:textbox>
              </v:rect>
            </w:pict>
          </mc:Fallback>
        </mc:AlternateContent>
      </w:r>
      <w:r w:rsidRPr="00067997">
        <w:rPr>
          <w:bCs/>
          <w:iCs/>
          <w:noProof/>
          <w:sz w:val="26"/>
          <w:szCs w:val="26"/>
        </w:rPr>
        <w:drawing>
          <wp:inline distT="0" distB="0" distL="0" distR="0" wp14:anchorId="1A3BDCBC" wp14:editId="058FEADF">
            <wp:extent cx="3181350" cy="1838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067997">
        <w:rPr>
          <w:bCs/>
          <w:iCs/>
          <w:noProof/>
          <w:sz w:val="26"/>
          <w:szCs w:val="26"/>
        </w:rPr>
        <w:drawing>
          <wp:inline distT="0" distB="0" distL="0" distR="0" wp14:anchorId="7D3226EE" wp14:editId="080C61F7">
            <wp:extent cx="2524125" cy="1771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7F8B" w:rsidRPr="00067997" w:rsidRDefault="00C07F8B" w:rsidP="0069645C">
      <w:pPr>
        <w:pStyle w:val="a3"/>
        <w:spacing w:after="0"/>
        <w:jc w:val="both"/>
        <w:rPr>
          <w:bCs/>
          <w:iCs/>
          <w:sz w:val="26"/>
          <w:szCs w:val="26"/>
          <w:lang w:val="en-US"/>
        </w:rPr>
      </w:pPr>
    </w:p>
    <w:p w:rsidR="00C07F8B" w:rsidRPr="00067997" w:rsidRDefault="00C07F8B" w:rsidP="0069645C">
      <w:pPr>
        <w:pStyle w:val="a3"/>
        <w:spacing w:after="0"/>
        <w:jc w:val="both"/>
        <w:rPr>
          <w:bCs/>
          <w:iCs/>
          <w:sz w:val="26"/>
          <w:szCs w:val="26"/>
          <w:lang w:val="en-US"/>
        </w:rPr>
      </w:pPr>
      <w:r w:rsidRPr="000679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6EA9D" wp14:editId="3033777B">
                <wp:simplePos x="0" y="0"/>
                <wp:positionH relativeFrom="column">
                  <wp:posOffset>-294640</wp:posOffset>
                </wp:positionH>
                <wp:positionV relativeFrom="paragraph">
                  <wp:posOffset>80645</wp:posOffset>
                </wp:positionV>
                <wp:extent cx="4314825" cy="276860"/>
                <wp:effectExtent l="0" t="0" r="0" b="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69D3" w:rsidRDefault="003969D3" w:rsidP="00C07F8B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/>
                                <w:kern w:val="24"/>
                              </w:rPr>
                              <w:t xml:space="preserve">*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</w:rPr>
                              <w:t>в соответствии с планом развития судостроительной отрасли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8" style="position:absolute;left:0;text-align:left;margin-left:-23.2pt;margin-top:6.35pt;width:339.75pt;height:2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" filled="f" stroked="f">
                <v:textbox style="mso-fit-shape-to-text:t">
                  <w:txbxContent>
                    <w:p w:rsidR="003969D3" w:rsidRDefault="003969D3" w:rsidP="00C07F8B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/>
                          <w:kern w:val="24"/>
                        </w:rPr>
                        <w:t xml:space="preserve">* </w:t>
                      </w:r>
                      <w:r>
                        <w:rPr>
                          <w:rFonts w:asciiTheme="minorHAnsi" w:hAnsi="Calibri" w:cstheme="minorBidi"/>
                          <w:color w:val="000000"/>
                          <w:kern w:val="24"/>
                        </w:rPr>
                        <w:t>в соответствии с планом развития судостроительной отрасли</w:t>
                      </w:r>
                    </w:p>
                  </w:txbxContent>
                </v:textbox>
              </v:rect>
            </w:pict>
          </mc:Fallback>
        </mc:AlternateContent>
      </w:r>
    </w:p>
    <w:p w:rsidR="00952F97" w:rsidRPr="00067997" w:rsidRDefault="00B946A7" w:rsidP="003E11C2">
      <w:pPr>
        <w:pStyle w:val="a3"/>
        <w:numPr>
          <w:ilvl w:val="0"/>
          <w:numId w:val="6"/>
        </w:numPr>
        <w:spacing w:before="360" w:after="0"/>
        <w:ind w:left="714" w:hanging="357"/>
        <w:jc w:val="both"/>
        <w:rPr>
          <w:bCs/>
          <w:iCs/>
          <w:sz w:val="26"/>
          <w:szCs w:val="26"/>
        </w:rPr>
      </w:pPr>
      <w:bookmarkStart w:id="0" w:name="_GoBack"/>
      <w:r w:rsidRPr="00067997">
        <w:rPr>
          <w:bCs/>
          <w:iCs/>
          <w:sz w:val="26"/>
          <w:szCs w:val="26"/>
        </w:rPr>
        <w:t>О</w:t>
      </w:r>
      <w:r w:rsidR="00952F97" w:rsidRPr="00067997">
        <w:rPr>
          <w:bCs/>
          <w:iCs/>
          <w:sz w:val="26"/>
          <w:szCs w:val="26"/>
        </w:rPr>
        <w:t>пределены цели, задачи, а также показатели (индикаторы) достижения целей и уровня решения задач, выполнен прогноз основных ожидаемых конечных результатов реализации Стратегии развития судостроительной промышленности на период до 203</w:t>
      </w:r>
      <w:r w:rsidRPr="00067997">
        <w:rPr>
          <w:bCs/>
          <w:iCs/>
          <w:sz w:val="26"/>
          <w:szCs w:val="26"/>
        </w:rPr>
        <w:t>5 года и дальнейшую перспективу.</w:t>
      </w:r>
    </w:p>
    <w:bookmarkEnd w:id="0"/>
    <w:p w:rsidR="00C07F8B" w:rsidRPr="003969D3" w:rsidRDefault="00C07F8B" w:rsidP="003969D3">
      <w:pPr>
        <w:spacing w:before="120"/>
        <w:jc w:val="both"/>
      </w:pPr>
      <w:r w:rsidRPr="003969D3">
        <w:t>Разработаны три сценария реализации Стратегии: реалистичный, оптимистичный, пессимистичный.</w:t>
      </w:r>
    </w:p>
    <w:p w:rsidR="00C07F8B" w:rsidRPr="003969D3" w:rsidRDefault="00C07F8B" w:rsidP="0069645C">
      <w:pPr>
        <w:jc w:val="both"/>
      </w:pPr>
      <w:r w:rsidRPr="003969D3">
        <w:t>Предложена реализация Стратегии развития судостроительной промышленности в 4 этапа.</w:t>
      </w:r>
    </w:p>
    <w:p w:rsidR="00C07F8B" w:rsidRPr="003969D3" w:rsidRDefault="00C07F8B" w:rsidP="0069645C">
      <w:pPr>
        <w:jc w:val="both"/>
      </w:pPr>
      <w:r w:rsidRPr="003969D3">
        <w:t>Каждый этап характеризуется выполнением плана мероприятий, ведущих к реализации целей и задач Стратегии в соответствии с</w:t>
      </w:r>
      <w:r w:rsidR="00576897" w:rsidRPr="003969D3">
        <w:t>о</w:t>
      </w:r>
      <w:r w:rsidRPr="003969D3">
        <w:t xml:space="preserve"> сценарными условиями.</w:t>
      </w:r>
    </w:p>
    <w:p w:rsidR="00576897" w:rsidRPr="003969D3" w:rsidRDefault="00576897" w:rsidP="0069645C">
      <w:pPr>
        <w:spacing w:after="120"/>
        <w:jc w:val="both"/>
      </w:pPr>
      <w:r w:rsidRPr="003969D3">
        <w:t>Сформированы основные показатели (индикаторы) достижения реализации целей и задач Стратегии, а также предложено учесть следующие:</w:t>
      </w:r>
    </w:p>
    <w:tbl>
      <w:tblPr>
        <w:tblW w:w="10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2"/>
        <w:gridCol w:w="992"/>
        <w:gridCol w:w="992"/>
        <w:gridCol w:w="993"/>
      </w:tblGrid>
      <w:tr w:rsidR="00576897" w:rsidRPr="00067997" w:rsidTr="00B946A7">
        <w:trPr>
          <w:trHeight w:val="140"/>
          <w:tblHeader/>
        </w:trPr>
        <w:tc>
          <w:tcPr>
            <w:tcW w:w="7152" w:type="dxa"/>
            <w:vMerge w:val="restart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Индикаторы</w:t>
            </w:r>
          </w:p>
        </w:tc>
        <w:tc>
          <w:tcPr>
            <w:tcW w:w="2977" w:type="dxa"/>
            <w:gridSpan w:val="3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Этапы реализации Стратегии</w:t>
            </w:r>
          </w:p>
        </w:tc>
      </w:tr>
      <w:tr w:rsidR="00576897" w:rsidRPr="00067997" w:rsidTr="00B946A7">
        <w:trPr>
          <w:trHeight w:val="140"/>
          <w:tblHeader/>
        </w:trPr>
        <w:tc>
          <w:tcPr>
            <w:tcW w:w="7152" w:type="dxa"/>
            <w:vMerge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vAlign w:val="center"/>
            <w:hideMark/>
          </w:tcPr>
          <w:p w:rsidR="00576897" w:rsidRPr="00067997" w:rsidRDefault="00576897" w:rsidP="006964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b/>
                <w:bCs/>
                <w:kern w:val="24"/>
                <w:sz w:val="18"/>
                <w:szCs w:val="18"/>
              </w:rPr>
              <w:t>2030 год</w:t>
            </w:r>
          </w:p>
        </w:tc>
      </w:tr>
      <w:tr w:rsidR="00576897" w:rsidRPr="00067997" w:rsidTr="00391C73">
        <w:trPr>
          <w:trHeight w:val="410"/>
        </w:trPr>
        <w:tc>
          <w:tcPr>
            <w:tcW w:w="715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Динамика выпуска гражданских судов и морской техники на отечественных судостроительных и судоремонтных предприятиях в денежном выражении по отношению к 2013 году (%)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400</w:t>
            </w:r>
          </w:p>
        </w:tc>
        <w:tc>
          <w:tcPr>
            <w:tcW w:w="993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500</w:t>
            </w:r>
          </w:p>
        </w:tc>
      </w:tr>
      <w:tr w:rsidR="00576897" w:rsidRPr="00067997" w:rsidTr="00391C73">
        <w:trPr>
          <w:trHeight w:val="137"/>
        </w:trPr>
        <w:tc>
          <w:tcPr>
            <w:tcW w:w="715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Уровень локализации продукции судостроения по кооперации 1 уровня (%)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70</w:t>
            </w:r>
          </w:p>
        </w:tc>
      </w:tr>
      <w:tr w:rsidR="00576897" w:rsidRPr="00067997" w:rsidTr="00391C73">
        <w:trPr>
          <w:trHeight w:val="274"/>
        </w:trPr>
        <w:tc>
          <w:tcPr>
            <w:tcW w:w="715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Объем выпуска судостроительной продукции предприятий отрасли (водоизмещение порожнем) (тыс. тонн)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350</w:t>
            </w:r>
          </w:p>
        </w:tc>
        <w:tc>
          <w:tcPr>
            <w:tcW w:w="993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450</w:t>
            </w:r>
          </w:p>
        </w:tc>
      </w:tr>
      <w:tr w:rsidR="00576897" w:rsidRPr="00067997" w:rsidTr="00391C73">
        <w:trPr>
          <w:trHeight w:val="278"/>
        </w:trPr>
        <w:tc>
          <w:tcPr>
            <w:tcW w:w="715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Рост производительности труда (выработки на одного работающего) на промышленных предприятиях судостроительной отрасли по отношению к 2013 году (%)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201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272</w:t>
            </w:r>
          </w:p>
        </w:tc>
        <w:tc>
          <w:tcPr>
            <w:tcW w:w="993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351</w:t>
            </w:r>
          </w:p>
        </w:tc>
      </w:tr>
      <w:tr w:rsidR="00576897" w:rsidRPr="00067997" w:rsidTr="00391C73">
        <w:trPr>
          <w:trHeight w:val="274"/>
        </w:trPr>
        <w:tc>
          <w:tcPr>
            <w:tcW w:w="715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lastRenderedPageBreak/>
              <w:t xml:space="preserve">Объем экспорта гражданской продукции судостроительной отрасли (в денежном выражении) (млрд </w:t>
            </w:r>
            <w:proofErr w:type="spellStart"/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руб</w:t>
            </w:r>
            <w:proofErr w:type="spellEnd"/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20</w:t>
            </w:r>
          </w:p>
        </w:tc>
      </w:tr>
      <w:tr w:rsidR="00576897" w:rsidRPr="00067997" w:rsidTr="00391C73">
        <w:trPr>
          <w:trHeight w:val="197"/>
        </w:trPr>
        <w:tc>
          <w:tcPr>
            <w:tcW w:w="715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Доля отечественной продукции судостроительной отрасли на внутреннем рынке (%)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80</w:t>
            </w:r>
          </w:p>
        </w:tc>
      </w:tr>
      <w:tr w:rsidR="00576897" w:rsidRPr="00067997" w:rsidTr="00391C73">
        <w:trPr>
          <w:trHeight w:val="274"/>
        </w:trPr>
        <w:tc>
          <w:tcPr>
            <w:tcW w:w="715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Количество созданных высокопроизводительных рабочих мест в судостроительной отрасли (</w:t>
            </w:r>
            <w:proofErr w:type="spellStart"/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тыс.ед</w:t>
            </w:r>
            <w:proofErr w:type="spellEnd"/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2,6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4,9</w:t>
            </w:r>
          </w:p>
        </w:tc>
        <w:tc>
          <w:tcPr>
            <w:tcW w:w="993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6</w:t>
            </w:r>
          </w:p>
        </w:tc>
      </w:tr>
      <w:tr w:rsidR="00576897" w:rsidRPr="00067997" w:rsidTr="00391C73">
        <w:trPr>
          <w:trHeight w:val="274"/>
        </w:trPr>
        <w:tc>
          <w:tcPr>
            <w:tcW w:w="715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Рост мощностей по обработке металла в корпусообрабатывающем производстве по отношению к 2013 году (%)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133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205</w:t>
            </w:r>
          </w:p>
        </w:tc>
        <w:tc>
          <w:tcPr>
            <w:tcW w:w="993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210</w:t>
            </w:r>
          </w:p>
        </w:tc>
      </w:tr>
      <w:tr w:rsidR="00576897" w:rsidRPr="00067997" w:rsidTr="00391C73">
        <w:trPr>
          <w:trHeight w:val="137"/>
        </w:trPr>
        <w:tc>
          <w:tcPr>
            <w:tcW w:w="715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Объем выпуска судов, водоизмещением более 80 тонн. (ед.)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43</w:t>
            </w:r>
          </w:p>
        </w:tc>
      </w:tr>
      <w:tr w:rsidR="00576897" w:rsidRPr="00067997" w:rsidTr="00391C73">
        <w:trPr>
          <w:trHeight w:val="547"/>
        </w:trPr>
        <w:tc>
          <w:tcPr>
            <w:tcW w:w="715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Количество патентов и других документов, удостоверяющих новизну технологических решений, полученных в результате выполнения государственной программы Российской Федерации «Развитие судостроение и техники для освоения шельфовых месторождений на 2013-2030 годы» (ед.)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120</w:t>
            </w:r>
          </w:p>
        </w:tc>
      </w:tr>
      <w:tr w:rsidR="00576897" w:rsidRPr="00067997" w:rsidTr="00391C73">
        <w:trPr>
          <w:trHeight w:val="547"/>
        </w:trPr>
        <w:tc>
          <w:tcPr>
            <w:tcW w:w="715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Количество вновь разработанных технологий, направленных на создание техники для освоения шельфовых месторождений, полученных в результате выполнения государственной программы Российской Федерации «Развитие судостроение и техники для освоения шельфовых месторождений на 2013-2030 годы» (ед.)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250</w:t>
            </w:r>
          </w:p>
        </w:tc>
        <w:tc>
          <w:tcPr>
            <w:tcW w:w="993" w:type="dxa"/>
            <w:tcBorders>
              <w:top w:val="single" w:sz="8" w:space="0" w:color="3C3C3C"/>
              <w:left w:val="single" w:sz="8" w:space="0" w:color="3C3C3C"/>
              <w:bottom w:val="single" w:sz="8" w:space="0" w:color="3C3C3C"/>
              <w:right w:val="single" w:sz="8" w:space="0" w:color="3C3C3C"/>
            </w:tcBorders>
            <w:shd w:val="clear" w:color="auto" w:fill="auto"/>
            <w:tcMar>
              <w:top w:w="15" w:type="dxa"/>
              <w:left w:w="64" w:type="dxa"/>
              <w:bottom w:w="0" w:type="dxa"/>
              <w:right w:w="64" w:type="dxa"/>
            </w:tcMar>
            <w:vAlign w:val="center"/>
            <w:hideMark/>
          </w:tcPr>
          <w:p w:rsidR="00576897" w:rsidRPr="00067997" w:rsidRDefault="00576897" w:rsidP="006964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997">
              <w:rPr>
                <w:rFonts w:ascii="Arial" w:hAnsi="Arial" w:cs="Arial"/>
                <w:kern w:val="24"/>
                <w:sz w:val="18"/>
                <w:szCs w:val="18"/>
              </w:rPr>
              <w:t>-</w:t>
            </w:r>
          </w:p>
        </w:tc>
      </w:tr>
    </w:tbl>
    <w:p w:rsidR="00576897" w:rsidRPr="00067997" w:rsidRDefault="00B946A7" w:rsidP="0069645C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bCs/>
          <w:iCs/>
          <w:sz w:val="26"/>
          <w:szCs w:val="26"/>
        </w:rPr>
      </w:pPr>
      <w:r w:rsidRPr="00067997">
        <w:rPr>
          <w:bCs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B797C" wp14:editId="38F04EAF">
                <wp:simplePos x="0" y="0"/>
                <wp:positionH relativeFrom="column">
                  <wp:posOffset>4685030</wp:posOffset>
                </wp:positionH>
                <wp:positionV relativeFrom="paragraph">
                  <wp:posOffset>826135</wp:posOffset>
                </wp:positionV>
                <wp:extent cx="1419225" cy="33845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69D3" w:rsidRPr="00576897" w:rsidRDefault="003969D3" w:rsidP="00861709">
                            <w:pPr>
                              <w:pStyle w:val="ab"/>
                              <w:spacing w:before="12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7689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2"/>
                                <w:szCs w:val="22"/>
                              </w:rPr>
                              <w:t xml:space="preserve">100% </w:t>
                            </w:r>
                            <w:r w:rsidRPr="0057689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объем необходимого ресурсного обеспечения</w:t>
                            </w:r>
                          </w:p>
                        </w:txbxContent>
                      </wps:txbx>
                      <wps:bodyPr wrap="square" lIns="0" r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0" o:spid="_x0000_s1029" type="#_x0000_t202" style="position:absolute;left:0;text-align:left;margin-left:368.9pt;margin-top:65.05pt;width:111.75pt;height: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" filled="f" stroked="f">
                <v:textbox style="mso-fit-shape-to-text:t" inset="0,,0">
                  <w:txbxContent>
                    <w:p w:rsidR="003969D3" w:rsidRPr="00576897" w:rsidRDefault="003969D3" w:rsidP="00861709">
                      <w:pPr>
                        <w:pStyle w:val="ab"/>
                        <w:spacing w:before="12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576897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2"/>
                          <w:szCs w:val="22"/>
                        </w:rPr>
                        <w:t xml:space="preserve">100% </w:t>
                      </w:r>
                      <w:r w:rsidRPr="00576897"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объем необходимого ресурсного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 w:rsidRPr="00067997">
        <w:rPr>
          <w:bCs/>
          <w:iCs/>
          <w:sz w:val="26"/>
          <w:szCs w:val="26"/>
        </w:rPr>
        <w:t>В</w:t>
      </w:r>
      <w:r w:rsidR="00576897" w:rsidRPr="00067997">
        <w:rPr>
          <w:bCs/>
          <w:iCs/>
          <w:sz w:val="26"/>
          <w:szCs w:val="26"/>
        </w:rPr>
        <w:t xml:space="preserve">ыполнена оценка ресурсного обеспечения направлений реализации Стратегии развития судостроительной промышленности на период до 2035 года и дальнейшую перспективу, в том числе из средств федерального бюджета и ресурсов </w:t>
      </w:r>
      <w:proofErr w:type="spellStart"/>
      <w:r w:rsidR="00576897" w:rsidRPr="00067997">
        <w:rPr>
          <w:bCs/>
          <w:iCs/>
          <w:sz w:val="26"/>
          <w:szCs w:val="26"/>
        </w:rPr>
        <w:t>част</w:t>
      </w:r>
      <w:r w:rsidRPr="00067997">
        <w:rPr>
          <w:bCs/>
          <w:iCs/>
          <w:sz w:val="26"/>
          <w:szCs w:val="26"/>
        </w:rPr>
        <w:t>но</w:t>
      </w:r>
      <w:proofErr w:type="spellEnd"/>
      <w:r w:rsidRPr="00067997">
        <w:rPr>
          <w:bCs/>
          <w:iCs/>
          <w:sz w:val="26"/>
          <w:szCs w:val="26"/>
        </w:rPr>
        <w:t>-государственного партнерства.</w:t>
      </w:r>
    </w:p>
    <w:tbl>
      <w:tblPr>
        <w:tblW w:w="68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131"/>
        <w:gridCol w:w="996"/>
        <w:gridCol w:w="996"/>
        <w:gridCol w:w="1041"/>
        <w:gridCol w:w="1153"/>
      </w:tblGrid>
      <w:tr w:rsidR="00861709" w:rsidRPr="00067997" w:rsidTr="00861709">
        <w:trPr>
          <w:trHeight w:val="476"/>
        </w:trPr>
        <w:tc>
          <w:tcPr>
            <w:tcW w:w="58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077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709" w:rsidRPr="00067997" w:rsidRDefault="00861709" w:rsidP="0069645C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 w:rsidRPr="00067997">
              <w:rPr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213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077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709" w:rsidRPr="00067997" w:rsidRDefault="00861709" w:rsidP="0069645C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 w:rsidRPr="00067997">
              <w:rPr>
                <w:b/>
                <w:bCs/>
                <w:iCs/>
                <w:sz w:val="20"/>
                <w:szCs w:val="20"/>
              </w:rPr>
              <w:t>Вариант</w:t>
            </w:r>
          </w:p>
        </w:tc>
        <w:tc>
          <w:tcPr>
            <w:tcW w:w="4186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4077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709" w:rsidRPr="00067997" w:rsidRDefault="00861709" w:rsidP="0069645C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 w:rsidRPr="00067997">
              <w:rPr>
                <w:bCs/>
                <w:iCs/>
                <w:sz w:val="20"/>
                <w:szCs w:val="20"/>
              </w:rPr>
              <w:t>Объемы финансирования, млн. руб.</w:t>
            </w:r>
          </w:p>
        </w:tc>
      </w:tr>
      <w:tr w:rsidR="00861709" w:rsidRPr="00067997" w:rsidTr="00B946A7">
        <w:trPr>
          <w:trHeight w:val="466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861709" w:rsidRPr="00067997" w:rsidRDefault="00861709" w:rsidP="0069645C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861709" w:rsidRPr="00067997" w:rsidRDefault="00861709" w:rsidP="0069645C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D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709" w:rsidRPr="00067997" w:rsidRDefault="003969D3" w:rsidP="003969D3">
            <w:pPr>
              <w:pStyle w:val="a3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2018-</w:t>
            </w:r>
            <w:r w:rsidR="00861709" w:rsidRPr="00067997">
              <w:rPr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9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D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709" w:rsidRPr="00067997" w:rsidRDefault="00861709" w:rsidP="003969D3">
            <w:pPr>
              <w:pStyle w:val="a3"/>
              <w:jc w:val="center"/>
              <w:rPr>
                <w:bCs/>
                <w:iCs/>
                <w:sz w:val="20"/>
                <w:szCs w:val="20"/>
              </w:rPr>
            </w:pPr>
            <w:r w:rsidRPr="00067997">
              <w:rPr>
                <w:bCs/>
                <w:iCs/>
                <w:sz w:val="20"/>
                <w:szCs w:val="20"/>
              </w:rPr>
              <w:t>2026-2030</w:t>
            </w:r>
          </w:p>
        </w:tc>
        <w:tc>
          <w:tcPr>
            <w:tcW w:w="10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D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709" w:rsidRPr="00067997" w:rsidRDefault="00861709" w:rsidP="003969D3">
            <w:pPr>
              <w:pStyle w:val="a3"/>
              <w:jc w:val="center"/>
              <w:rPr>
                <w:bCs/>
                <w:iCs/>
                <w:sz w:val="20"/>
                <w:szCs w:val="20"/>
              </w:rPr>
            </w:pPr>
            <w:r w:rsidRPr="00067997">
              <w:rPr>
                <w:bCs/>
                <w:iCs/>
                <w:sz w:val="20"/>
                <w:szCs w:val="20"/>
              </w:rPr>
              <w:t>2031-2035</w:t>
            </w:r>
          </w:p>
        </w:tc>
        <w:tc>
          <w:tcPr>
            <w:tcW w:w="11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D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709" w:rsidRPr="00067997" w:rsidRDefault="00861709" w:rsidP="003969D3">
            <w:pPr>
              <w:pStyle w:val="a3"/>
              <w:jc w:val="center"/>
              <w:rPr>
                <w:bCs/>
                <w:iCs/>
                <w:sz w:val="20"/>
                <w:szCs w:val="20"/>
              </w:rPr>
            </w:pPr>
            <w:r w:rsidRPr="00067997">
              <w:rPr>
                <w:bCs/>
                <w:iCs/>
                <w:sz w:val="20"/>
                <w:szCs w:val="20"/>
              </w:rPr>
              <w:t>ИТОГО</w:t>
            </w:r>
          </w:p>
        </w:tc>
      </w:tr>
      <w:tr w:rsidR="00861709" w:rsidRPr="00067997" w:rsidTr="00B946A7">
        <w:trPr>
          <w:trHeight w:val="390"/>
        </w:trPr>
        <w:tc>
          <w:tcPr>
            <w:tcW w:w="5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077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709" w:rsidRPr="00067997" w:rsidRDefault="00861709" w:rsidP="0069645C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 w:rsidRPr="00067997">
              <w:rPr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709" w:rsidRPr="00067997" w:rsidRDefault="00861709" w:rsidP="0069645C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 w:rsidRPr="00067997">
              <w:rPr>
                <w:bCs/>
                <w:iCs/>
                <w:sz w:val="20"/>
                <w:szCs w:val="20"/>
              </w:rPr>
              <w:t>Пессимистичный вариант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709" w:rsidRPr="00067997" w:rsidRDefault="003969D3" w:rsidP="0069645C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sym w:font="Symbol" w:char="F0BB"/>
            </w:r>
            <w:r>
              <w:rPr>
                <w:bCs/>
                <w:iCs/>
                <w:sz w:val="20"/>
                <w:szCs w:val="20"/>
              </w:rPr>
              <w:t>270 000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709" w:rsidRPr="00067997" w:rsidRDefault="003969D3" w:rsidP="00C60BFA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sym w:font="Symbol" w:char="F0BB"/>
            </w:r>
            <w:r w:rsidR="00861709" w:rsidRPr="00067997">
              <w:rPr>
                <w:bCs/>
                <w:iCs/>
                <w:sz w:val="20"/>
                <w:szCs w:val="20"/>
              </w:rPr>
              <w:t>18</w:t>
            </w:r>
            <w:r w:rsidR="00C60BFA">
              <w:rPr>
                <w:bCs/>
                <w:iCs/>
                <w:sz w:val="20"/>
                <w:szCs w:val="20"/>
              </w:rPr>
              <w:t>0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C60BFA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709" w:rsidRPr="00067997" w:rsidRDefault="003969D3" w:rsidP="0069645C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sym w:font="Symbol" w:char="F0BB"/>
            </w:r>
            <w:r w:rsidR="00C60BFA">
              <w:rPr>
                <w:bCs/>
                <w:iCs/>
                <w:sz w:val="20"/>
                <w:szCs w:val="20"/>
              </w:rPr>
              <w:t>200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861709" w:rsidRPr="00067997"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1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709" w:rsidRPr="00067997" w:rsidRDefault="003969D3" w:rsidP="00C60BFA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sym w:font="Symbol" w:char="F0BB"/>
            </w:r>
            <w:r w:rsidR="00861709" w:rsidRPr="00067997">
              <w:rPr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121355" wp14:editId="117C7FAB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-107950</wp:posOffset>
                      </wp:positionV>
                      <wp:extent cx="142875" cy="476250"/>
                      <wp:effectExtent l="19050" t="19050" r="28575" b="38100"/>
                      <wp:wrapNone/>
                      <wp:docPr id="55" name="Двойная стрелка вверх/вниз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76250"/>
                              </a:xfrm>
                              <a:prstGeom prst="upDownArrow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3560A14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55" o:spid="_x0000_s1026" type="#_x0000_t70" style="position:absolute;margin-left:134.65pt;margin-top:-8.5pt;width:11.2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" adj=",3240" fillcolor="#c00000" strokecolor="red" strokeweight="2pt"/>
                  </w:pict>
                </mc:Fallback>
              </mc:AlternateContent>
            </w:r>
            <w:r w:rsidR="00861709" w:rsidRPr="00067997">
              <w:rPr>
                <w:bCs/>
                <w:iCs/>
                <w:sz w:val="20"/>
                <w:szCs w:val="20"/>
              </w:rPr>
              <w:t>65</w:t>
            </w:r>
            <w:r w:rsidR="00C60BFA">
              <w:rPr>
                <w:bCs/>
                <w:iCs/>
                <w:sz w:val="20"/>
                <w:szCs w:val="20"/>
              </w:rPr>
              <w:t>0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C60BFA">
              <w:rPr>
                <w:bCs/>
                <w:iCs/>
                <w:sz w:val="20"/>
                <w:szCs w:val="20"/>
              </w:rPr>
              <w:t>000</w:t>
            </w:r>
          </w:p>
        </w:tc>
      </w:tr>
      <w:tr w:rsidR="00861709" w:rsidRPr="00067997" w:rsidTr="00B946A7">
        <w:trPr>
          <w:trHeight w:val="326"/>
        </w:trPr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077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709" w:rsidRPr="00067997" w:rsidRDefault="00861709" w:rsidP="0069645C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 w:rsidRPr="00067997">
              <w:rPr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D6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709" w:rsidRPr="00067997" w:rsidRDefault="00861709" w:rsidP="0069645C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 w:rsidRPr="00067997">
              <w:rPr>
                <w:bCs/>
                <w:iCs/>
                <w:sz w:val="20"/>
                <w:szCs w:val="20"/>
              </w:rPr>
              <w:t>Реалистичный вариант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709" w:rsidRPr="00067997" w:rsidRDefault="003969D3" w:rsidP="0069645C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sym w:font="Symbol" w:char="F0BB"/>
            </w:r>
            <w:r>
              <w:rPr>
                <w:bCs/>
                <w:iCs/>
                <w:sz w:val="20"/>
                <w:szCs w:val="20"/>
              </w:rPr>
              <w:t>580 000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709" w:rsidRPr="00067997" w:rsidRDefault="003969D3" w:rsidP="00C60BFA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sym w:font="Symbol" w:char="F0BB"/>
            </w:r>
            <w:r w:rsidR="00861709" w:rsidRPr="00067997">
              <w:rPr>
                <w:bCs/>
                <w:iCs/>
                <w:sz w:val="20"/>
                <w:szCs w:val="20"/>
              </w:rPr>
              <w:t>42</w:t>
            </w:r>
            <w:r w:rsidR="00C60BFA">
              <w:rPr>
                <w:bCs/>
                <w:iCs/>
                <w:sz w:val="20"/>
                <w:szCs w:val="20"/>
              </w:rPr>
              <w:t>0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C60BFA">
              <w:rPr>
                <w:bCs/>
                <w:iCs/>
                <w:sz w:val="20"/>
                <w:szCs w:val="20"/>
              </w:rPr>
              <w:t>0</w:t>
            </w:r>
            <w:r w:rsidR="00861709" w:rsidRPr="00067997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709" w:rsidRPr="00067997" w:rsidRDefault="003969D3" w:rsidP="00C60BFA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sym w:font="Symbol" w:char="F0BB"/>
            </w:r>
            <w:r w:rsidR="00861709" w:rsidRPr="00067997">
              <w:rPr>
                <w:bCs/>
                <w:iCs/>
                <w:sz w:val="20"/>
                <w:szCs w:val="20"/>
              </w:rPr>
              <w:t>45</w:t>
            </w:r>
            <w:r w:rsidR="00C60BFA">
              <w:rPr>
                <w:bCs/>
                <w:iCs/>
                <w:sz w:val="20"/>
                <w:szCs w:val="20"/>
              </w:rPr>
              <w:t>0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C60BFA">
              <w:rPr>
                <w:bCs/>
                <w:iCs/>
                <w:sz w:val="20"/>
                <w:szCs w:val="20"/>
              </w:rPr>
              <w:t>0</w:t>
            </w:r>
            <w:r w:rsidR="00861709" w:rsidRPr="00067997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E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709" w:rsidRPr="00067997" w:rsidRDefault="003969D3" w:rsidP="00C60BFA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sym w:font="Symbol" w:char="F0BB"/>
            </w:r>
            <w:r w:rsidR="00B946A7" w:rsidRPr="00067997">
              <w:rPr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133979" wp14:editId="6F90912C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-92710</wp:posOffset>
                      </wp:positionV>
                      <wp:extent cx="2095500" cy="723900"/>
                      <wp:effectExtent l="0" t="0" r="0" b="0"/>
                      <wp:wrapNone/>
                      <wp:docPr id="34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69D3" w:rsidRPr="00861709" w:rsidRDefault="003969D3" w:rsidP="00861709">
                                  <w:pPr>
                                    <w:pStyle w:val="a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61709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  <w:szCs w:val="22"/>
                                    </w:rPr>
                                    <w:t>одно из условий оптимистичного сценария реализации Стратегии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30" style="position:absolute;left:0;text-align:left;margin-left:63.55pt;margin-top:-7.3pt;width:16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" stroked="f" strokeweight="1pt">
                      <v:textbox>
                        <w:txbxContent>
                          <w:p w:rsidR="003969D3" w:rsidRPr="00861709" w:rsidRDefault="003969D3" w:rsidP="00861709">
                            <w:pPr>
                              <w:pStyle w:val="ab"/>
                              <w:spacing w:before="0" w:beforeAutospacing="0" w:after="0" w:afterAutospacing="0"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61709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одно из условий оптимистичного сценария реализации Стратегии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1709" w:rsidRPr="00067997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861709" w:rsidRPr="00067997">
              <w:rPr>
                <w:bCs/>
                <w:iCs/>
                <w:sz w:val="20"/>
                <w:szCs w:val="20"/>
              </w:rPr>
              <w:t>4</w:t>
            </w:r>
            <w:r w:rsidR="00C60BFA">
              <w:rPr>
                <w:bCs/>
                <w:iCs/>
                <w:sz w:val="20"/>
                <w:szCs w:val="20"/>
              </w:rPr>
              <w:t>50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C60BFA">
              <w:rPr>
                <w:bCs/>
                <w:iCs/>
                <w:sz w:val="20"/>
                <w:szCs w:val="20"/>
              </w:rPr>
              <w:t>0</w:t>
            </w:r>
            <w:r w:rsidR="00861709" w:rsidRPr="00067997">
              <w:rPr>
                <w:bCs/>
                <w:iCs/>
                <w:sz w:val="20"/>
                <w:szCs w:val="20"/>
              </w:rPr>
              <w:t>00</w:t>
            </w:r>
          </w:p>
        </w:tc>
      </w:tr>
      <w:tr w:rsidR="00861709" w:rsidRPr="00067997" w:rsidTr="00B946A7">
        <w:trPr>
          <w:trHeight w:val="278"/>
        </w:trPr>
        <w:tc>
          <w:tcPr>
            <w:tcW w:w="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077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709" w:rsidRPr="00067997" w:rsidRDefault="00861709" w:rsidP="0069645C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 w:rsidRPr="00067997">
              <w:rPr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861709" w:rsidRPr="00067997" w:rsidRDefault="00861709" w:rsidP="0069645C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 w:rsidRPr="00067997">
              <w:rPr>
                <w:bCs/>
                <w:iCs/>
                <w:sz w:val="20"/>
                <w:szCs w:val="20"/>
              </w:rPr>
              <w:t>Оптимистичный вариант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709" w:rsidRPr="00067997" w:rsidRDefault="003969D3" w:rsidP="0069645C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sym w:font="Symbol" w:char="F0BB"/>
            </w:r>
            <w:r>
              <w:rPr>
                <w:bCs/>
                <w:iCs/>
                <w:sz w:val="20"/>
                <w:szCs w:val="20"/>
              </w:rPr>
              <w:t>760 000</w:t>
            </w:r>
          </w:p>
        </w:tc>
        <w:tc>
          <w:tcPr>
            <w:tcW w:w="9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709" w:rsidRPr="00067997" w:rsidRDefault="003969D3" w:rsidP="00C60BFA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sym w:font="Symbol" w:char="F0BB"/>
            </w:r>
            <w:r w:rsidR="00861709" w:rsidRPr="00067997">
              <w:rPr>
                <w:bCs/>
                <w:iCs/>
                <w:sz w:val="20"/>
                <w:szCs w:val="20"/>
              </w:rPr>
              <w:t>5</w:t>
            </w:r>
            <w:r w:rsidR="00C60BFA">
              <w:rPr>
                <w:bCs/>
                <w:iCs/>
                <w:sz w:val="20"/>
                <w:szCs w:val="20"/>
              </w:rPr>
              <w:t>50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C60BFA">
              <w:rPr>
                <w:bCs/>
                <w:iCs/>
                <w:sz w:val="20"/>
                <w:szCs w:val="20"/>
              </w:rPr>
              <w:t>0</w:t>
            </w:r>
            <w:r w:rsidR="00861709" w:rsidRPr="00067997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709" w:rsidRPr="00067997" w:rsidRDefault="003969D3" w:rsidP="00C60BFA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sym w:font="Symbol" w:char="F0BB"/>
            </w:r>
            <w:r w:rsidR="00861709" w:rsidRPr="00067997">
              <w:rPr>
                <w:bCs/>
                <w:iCs/>
                <w:sz w:val="20"/>
                <w:szCs w:val="20"/>
              </w:rPr>
              <w:t>5</w:t>
            </w:r>
            <w:r w:rsidR="00C60BFA">
              <w:rPr>
                <w:bCs/>
                <w:iCs/>
                <w:sz w:val="20"/>
                <w:szCs w:val="20"/>
              </w:rPr>
              <w:t>90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C60BFA">
              <w:rPr>
                <w:bCs/>
                <w:iCs/>
                <w:sz w:val="20"/>
                <w:szCs w:val="20"/>
              </w:rPr>
              <w:t>0</w:t>
            </w:r>
            <w:r w:rsidR="00861709" w:rsidRPr="00067997">
              <w:rPr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1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1709" w:rsidRPr="00067997" w:rsidRDefault="003969D3" w:rsidP="00C60BFA">
            <w:pPr>
              <w:pStyle w:val="a3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sym w:font="Symbol" w:char="F0BB"/>
            </w:r>
            <w:r w:rsidR="00861709" w:rsidRPr="00067997">
              <w:rPr>
                <w:bCs/>
                <w:iCs/>
                <w:sz w:val="20"/>
                <w:szCs w:val="20"/>
              </w:rPr>
              <w:t>1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C60BFA">
              <w:rPr>
                <w:bCs/>
                <w:iCs/>
                <w:sz w:val="20"/>
                <w:szCs w:val="20"/>
              </w:rPr>
              <w:t>900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="00C60BFA">
              <w:rPr>
                <w:bCs/>
                <w:iCs/>
                <w:sz w:val="20"/>
                <w:szCs w:val="20"/>
              </w:rPr>
              <w:t>0</w:t>
            </w:r>
            <w:r w:rsidR="00861709" w:rsidRPr="00067997">
              <w:rPr>
                <w:bCs/>
                <w:iCs/>
                <w:sz w:val="20"/>
                <w:szCs w:val="20"/>
              </w:rPr>
              <w:t>00</w:t>
            </w:r>
          </w:p>
        </w:tc>
      </w:tr>
    </w:tbl>
    <w:p w:rsidR="009E092D" w:rsidRPr="00067997" w:rsidRDefault="00B946A7" w:rsidP="0069645C">
      <w:pPr>
        <w:pStyle w:val="a3"/>
        <w:numPr>
          <w:ilvl w:val="0"/>
          <w:numId w:val="6"/>
        </w:numPr>
        <w:spacing w:before="120" w:after="0"/>
        <w:ind w:left="714" w:hanging="357"/>
        <w:jc w:val="both"/>
        <w:rPr>
          <w:bCs/>
          <w:iCs/>
          <w:sz w:val="26"/>
          <w:szCs w:val="26"/>
        </w:rPr>
      </w:pPr>
      <w:r w:rsidRPr="00067997">
        <w:rPr>
          <w:bCs/>
          <w:iCs/>
          <w:sz w:val="26"/>
          <w:szCs w:val="26"/>
        </w:rPr>
        <w:t>В</w:t>
      </w:r>
      <w:r w:rsidR="009E092D" w:rsidRPr="00067997">
        <w:rPr>
          <w:bCs/>
          <w:iCs/>
          <w:sz w:val="26"/>
          <w:szCs w:val="26"/>
        </w:rPr>
        <w:t>ыполнена подготовка обобщенных аналитических и информационных материалов по итогам 2015-2016 гг. об экономическом состоянии отрасли в разрезе интегри</w:t>
      </w:r>
      <w:r w:rsidRPr="00067997">
        <w:rPr>
          <w:bCs/>
          <w:iCs/>
          <w:sz w:val="26"/>
          <w:szCs w:val="26"/>
        </w:rPr>
        <w:t xml:space="preserve">рованных структур и </w:t>
      </w:r>
      <w:proofErr w:type="spellStart"/>
      <w:r w:rsidRPr="00067997">
        <w:rPr>
          <w:bCs/>
          <w:iCs/>
          <w:sz w:val="26"/>
          <w:szCs w:val="26"/>
        </w:rPr>
        <w:t>подотраслей</w:t>
      </w:r>
      <w:proofErr w:type="spellEnd"/>
    </w:p>
    <w:p w:rsidR="009E092D" w:rsidRPr="00067997" w:rsidRDefault="00B946A7" w:rsidP="0069645C">
      <w:pPr>
        <w:pStyle w:val="a3"/>
        <w:numPr>
          <w:ilvl w:val="0"/>
          <w:numId w:val="6"/>
        </w:numPr>
        <w:spacing w:before="120" w:after="0"/>
        <w:ind w:left="714" w:hanging="357"/>
        <w:jc w:val="both"/>
        <w:rPr>
          <w:bCs/>
          <w:iCs/>
          <w:sz w:val="26"/>
          <w:szCs w:val="26"/>
        </w:rPr>
      </w:pPr>
      <w:r w:rsidRPr="00067997">
        <w:rPr>
          <w:bCs/>
          <w:iCs/>
          <w:sz w:val="26"/>
          <w:szCs w:val="26"/>
        </w:rPr>
        <w:t>П</w:t>
      </w:r>
      <w:r w:rsidR="009E092D" w:rsidRPr="00067997">
        <w:rPr>
          <w:bCs/>
          <w:iCs/>
          <w:sz w:val="26"/>
          <w:szCs w:val="26"/>
        </w:rPr>
        <w:t>роведен мониторинг производственной и финансово-экономической деятельности интегрированных структур и предприятий отрасли всех форм собственности за 2016 гг.;</w:t>
      </w:r>
    </w:p>
    <w:p w:rsidR="009E092D" w:rsidRPr="00067997" w:rsidRDefault="00B946A7" w:rsidP="0069645C">
      <w:pPr>
        <w:pStyle w:val="a3"/>
        <w:numPr>
          <w:ilvl w:val="0"/>
          <w:numId w:val="6"/>
        </w:numPr>
        <w:spacing w:before="120" w:after="0"/>
        <w:ind w:left="714" w:hanging="357"/>
        <w:jc w:val="both"/>
        <w:rPr>
          <w:bCs/>
          <w:iCs/>
          <w:sz w:val="26"/>
          <w:szCs w:val="26"/>
        </w:rPr>
      </w:pPr>
      <w:r w:rsidRPr="00067997">
        <w:rPr>
          <w:bCs/>
          <w:iCs/>
          <w:sz w:val="26"/>
          <w:szCs w:val="26"/>
        </w:rPr>
        <w:t>П</w:t>
      </w:r>
      <w:r w:rsidR="009E092D" w:rsidRPr="00067997">
        <w:rPr>
          <w:bCs/>
          <w:iCs/>
          <w:sz w:val="26"/>
          <w:szCs w:val="26"/>
        </w:rPr>
        <w:t>роведен мониторинг текущего состояния кадрового потенциала в разрезе интегрированных структур, федеральных округов, субъектов Российской Федерации и основных видов деятельности отрасли за 2016 гг.;</w:t>
      </w:r>
    </w:p>
    <w:p w:rsidR="00861709" w:rsidRPr="00067997" w:rsidRDefault="00391C73" w:rsidP="0069645C">
      <w:pPr>
        <w:pStyle w:val="a3"/>
        <w:spacing w:after="0"/>
        <w:jc w:val="both"/>
        <w:rPr>
          <w:sz w:val="26"/>
          <w:szCs w:val="26"/>
        </w:rPr>
      </w:pPr>
      <w:r w:rsidRPr="00067997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812BA3" wp14:editId="4573CDB4">
                <wp:simplePos x="0" y="0"/>
                <wp:positionH relativeFrom="column">
                  <wp:posOffset>-418465</wp:posOffset>
                </wp:positionH>
                <wp:positionV relativeFrom="paragraph">
                  <wp:posOffset>2289175</wp:posOffset>
                </wp:positionV>
                <wp:extent cx="7374255" cy="584200"/>
                <wp:effectExtent l="0" t="0" r="0" b="0"/>
                <wp:wrapNone/>
                <wp:docPr id="58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4255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69D3" w:rsidRPr="00391C73" w:rsidRDefault="003969D3" w:rsidP="00391C73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91C7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Численност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ь</w:t>
                            </w:r>
                            <w:r w:rsidRPr="00391C73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работающих в отрасли в разрезе видов деятельности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left:0;text-align:left;margin-left:-32.95pt;margin-top:180.25pt;width:580.65pt;height:4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" filled="f" stroked="f">
                <v:textbox style="mso-fit-shape-to-text:t">
                  <w:txbxContent>
                    <w:p w:rsidR="003969D3" w:rsidRPr="00391C73" w:rsidRDefault="003969D3" w:rsidP="00391C73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91C73">
                        <w:rPr>
                          <w:rFonts w:ascii="Arial" w:hAnsi="Arial" w:cs="Arial"/>
                          <w:b/>
                          <w:i/>
                          <w:iCs/>
                          <w:color w:val="000000"/>
                          <w:kern w:val="24"/>
                          <w:sz w:val="18"/>
                          <w:szCs w:val="18"/>
                        </w:rPr>
                        <w:t>Численност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000000"/>
                          <w:kern w:val="24"/>
                          <w:sz w:val="18"/>
                          <w:szCs w:val="18"/>
                        </w:rPr>
                        <w:t>ь</w:t>
                      </w:r>
                      <w:r w:rsidRPr="00391C73">
                        <w:rPr>
                          <w:rFonts w:ascii="Arial" w:hAnsi="Arial" w:cs="Arial"/>
                          <w:b/>
                          <w:i/>
                          <w:i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работающих в отрасли в разрезе видов деятельности </w:t>
                      </w:r>
                    </w:p>
                  </w:txbxContent>
                </v:textbox>
              </v:rect>
            </w:pict>
          </mc:Fallback>
        </mc:AlternateContent>
      </w:r>
      <w:r w:rsidR="00861709" w:rsidRPr="00067997">
        <w:rPr>
          <w:noProof/>
          <w:sz w:val="26"/>
          <w:szCs w:val="26"/>
        </w:rPr>
        <w:drawing>
          <wp:inline distT="0" distB="0" distL="0" distR="0" wp14:anchorId="06A742CB" wp14:editId="59BA1566">
            <wp:extent cx="3486150" cy="2295525"/>
            <wp:effectExtent l="0" t="0" r="0" b="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61709" w:rsidRPr="00067997">
        <w:rPr>
          <w:noProof/>
          <w:sz w:val="26"/>
          <w:szCs w:val="26"/>
        </w:rPr>
        <w:drawing>
          <wp:inline distT="0" distB="0" distL="0" distR="0" wp14:anchorId="52D3D7F9" wp14:editId="24115735">
            <wp:extent cx="2628900" cy="1733550"/>
            <wp:effectExtent l="0" t="0" r="0" b="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61709" w:rsidRPr="00067997" w:rsidRDefault="00861709" w:rsidP="0069645C">
      <w:pPr>
        <w:pStyle w:val="a3"/>
        <w:spacing w:after="0"/>
        <w:jc w:val="both"/>
        <w:rPr>
          <w:sz w:val="26"/>
          <w:szCs w:val="26"/>
        </w:rPr>
      </w:pPr>
    </w:p>
    <w:p w:rsidR="009E092D" w:rsidRPr="00067997" w:rsidRDefault="00B946A7" w:rsidP="0069645C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sz w:val="26"/>
          <w:szCs w:val="26"/>
        </w:rPr>
      </w:pPr>
      <w:r w:rsidRPr="00067997">
        <w:rPr>
          <w:sz w:val="26"/>
          <w:szCs w:val="26"/>
        </w:rPr>
        <w:t>П</w:t>
      </w:r>
      <w:r w:rsidR="009E092D" w:rsidRPr="00067997">
        <w:rPr>
          <w:sz w:val="26"/>
          <w:szCs w:val="26"/>
        </w:rPr>
        <w:t>роведен мониторинг развития судостроительной промышленности в мире и анализа состояния развития мирового и отечественного судостроения на 2016 год;</w:t>
      </w:r>
    </w:p>
    <w:p w:rsidR="00391C73" w:rsidRPr="00067997" w:rsidRDefault="00B946A7" w:rsidP="0069645C">
      <w:pPr>
        <w:pStyle w:val="a3"/>
        <w:numPr>
          <w:ilvl w:val="0"/>
          <w:numId w:val="6"/>
        </w:numPr>
        <w:spacing w:before="120"/>
        <w:ind w:left="714" w:hanging="357"/>
        <w:jc w:val="both"/>
        <w:rPr>
          <w:sz w:val="26"/>
          <w:szCs w:val="26"/>
        </w:rPr>
      </w:pPr>
      <w:r w:rsidRPr="00067997">
        <w:rPr>
          <w:sz w:val="26"/>
          <w:szCs w:val="26"/>
        </w:rPr>
        <w:t>П</w:t>
      </w:r>
      <w:r w:rsidR="009E092D" w:rsidRPr="00067997">
        <w:rPr>
          <w:sz w:val="26"/>
          <w:szCs w:val="26"/>
        </w:rPr>
        <w:t>одготовлены информационные, аналитические и справочные материалы о текущем состоянии мирового судостроения и судостроительного рынка на середину 2017 года и прогноз его разв</w:t>
      </w:r>
      <w:r w:rsidRPr="00067997">
        <w:rPr>
          <w:sz w:val="26"/>
          <w:szCs w:val="26"/>
        </w:rPr>
        <w:t>ития на ближайшую перспективу.</w:t>
      </w:r>
    </w:p>
    <w:p w:rsidR="00B946A7" w:rsidRPr="00067997" w:rsidRDefault="00B946A7" w:rsidP="0069645C">
      <w:pPr>
        <w:pStyle w:val="a3"/>
        <w:spacing w:after="0"/>
        <w:jc w:val="both"/>
        <w:rPr>
          <w:sz w:val="26"/>
          <w:szCs w:val="26"/>
        </w:rPr>
      </w:pPr>
      <w:r w:rsidRPr="00067997">
        <w:rPr>
          <w:noProof/>
        </w:rPr>
        <w:drawing>
          <wp:inline distT="0" distB="0" distL="0" distR="0" wp14:anchorId="484B475F" wp14:editId="0AFDED6B">
            <wp:extent cx="3381375" cy="1838325"/>
            <wp:effectExtent l="0" t="0" r="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067997">
        <w:rPr>
          <w:noProof/>
        </w:rPr>
        <w:drawing>
          <wp:inline distT="0" distB="0" distL="0" distR="0" wp14:anchorId="4A89D68C" wp14:editId="24F886F0">
            <wp:extent cx="2886075" cy="1828800"/>
            <wp:effectExtent l="0" t="0" r="0" b="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67997" w:rsidRPr="00067997" w:rsidRDefault="00067997" w:rsidP="0069645C">
      <w:pPr>
        <w:pStyle w:val="ab"/>
        <w:spacing w:before="0" w:beforeAutospacing="0" w:after="0" w:afterAutospacing="0"/>
        <w:jc w:val="right"/>
        <w:rPr>
          <w:rFonts w:ascii="Arial" w:hAnsi="Arial" w:cs="Arial"/>
          <w:b/>
          <w:i/>
          <w:iCs/>
          <w:kern w:val="24"/>
          <w:sz w:val="18"/>
          <w:szCs w:val="18"/>
        </w:rPr>
      </w:pPr>
      <w:r w:rsidRPr="00067997">
        <w:rPr>
          <w:rFonts w:ascii="Arial" w:hAnsi="Arial" w:cs="Arial"/>
          <w:b/>
          <w:i/>
          <w:iCs/>
          <w:kern w:val="24"/>
          <w:sz w:val="18"/>
          <w:szCs w:val="18"/>
        </w:rPr>
        <w:t>Распределение мирового флота по странам, ед.      Распределение мирового флота по странам, млн.                                   тонн %</w:t>
      </w:r>
    </w:p>
    <w:p w:rsidR="009E092D" w:rsidRPr="00067997" w:rsidRDefault="00B946A7" w:rsidP="0069645C">
      <w:pPr>
        <w:pStyle w:val="a3"/>
        <w:numPr>
          <w:ilvl w:val="0"/>
          <w:numId w:val="6"/>
        </w:numPr>
        <w:spacing w:before="120" w:after="0"/>
        <w:jc w:val="both"/>
        <w:rPr>
          <w:sz w:val="26"/>
          <w:szCs w:val="26"/>
        </w:rPr>
      </w:pPr>
      <w:r w:rsidRPr="00067997">
        <w:rPr>
          <w:sz w:val="26"/>
          <w:szCs w:val="26"/>
        </w:rPr>
        <w:t>П</w:t>
      </w:r>
      <w:r w:rsidR="009E092D" w:rsidRPr="00067997">
        <w:rPr>
          <w:sz w:val="26"/>
          <w:szCs w:val="26"/>
        </w:rPr>
        <w:t>одготовлены аналитические материалы по важнейшим проектам судов и морской техники 2016 года, состоянию и планам строительства су</w:t>
      </w:r>
      <w:r w:rsidRPr="00067997">
        <w:rPr>
          <w:sz w:val="26"/>
          <w:szCs w:val="26"/>
        </w:rPr>
        <w:t>дов в среднесрочной перспективе.</w:t>
      </w:r>
    </w:p>
    <w:p w:rsidR="009E092D" w:rsidRPr="00067997" w:rsidRDefault="00B946A7" w:rsidP="0069645C">
      <w:pPr>
        <w:pStyle w:val="a3"/>
        <w:numPr>
          <w:ilvl w:val="0"/>
          <w:numId w:val="6"/>
        </w:numPr>
        <w:spacing w:before="120" w:after="0"/>
        <w:jc w:val="both"/>
        <w:rPr>
          <w:sz w:val="26"/>
          <w:szCs w:val="26"/>
        </w:rPr>
      </w:pPr>
      <w:r w:rsidRPr="00067997">
        <w:rPr>
          <w:sz w:val="26"/>
          <w:szCs w:val="26"/>
        </w:rPr>
        <w:t>У</w:t>
      </w:r>
      <w:r w:rsidR="009E092D" w:rsidRPr="00067997">
        <w:rPr>
          <w:sz w:val="26"/>
          <w:szCs w:val="26"/>
        </w:rPr>
        <w:t>точнен прогноз развития сложившихся и вновь возникших в отрасли негативных факторов ее развития в среднесрочной перспективе</w:t>
      </w:r>
      <w:r w:rsidRPr="00067997">
        <w:rPr>
          <w:sz w:val="26"/>
          <w:szCs w:val="26"/>
        </w:rPr>
        <w:t>.</w:t>
      </w:r>
    </w:p>
    <w:p w:rsidR="009E092D" w:rsidRPr="00067997" w:rsidRDefault="00B946A7" w:rsidP="0069645C">
      <w:pPr>
        <w:pStyle w:val="a3"/>
        <w:numPr>
          <w:ilvl w:val="0"/>
          <w:numId w:val="6"/>
        </w:numPr>
        <w:spacing w:before="120" w:after="0"/>
        <w:jc w:val="both"/>
        <w:rPr>
          <w:sz w:val="26"/>
          <w:szCs w:val="26"/>
        </w:rPr>
      </w:pPr>
      <w:r w:rsidRPr="00067997">
        <w:rPr>
          <w:sz w:val="26"/>
          <w:szCs w:val="26"/>
        </w:rPr>
        <w:t>В</w:t>
      </w:r>
      <w:r w:rsidR="009E092D" w:rsidRPr="00067997">
        <w:rPr>
          <w:sz w:val="26"/>
          <w:szCs w:val="26"/>
        </w:rPr>
        <w:t xml:space="preserve">ыполнен анализ состояния и разработка предложений по развитию научно-экспериментальной и стендовой базы предприятий отрасли, включая уникальную стендовую базу, с учетом необходимости </w:t>
      </w:r>
      <w:proofErr w:type="spellStart"/>
      <w:r w:rsidR="009E092D" w:rsidRPr="00067997">
        <w:rPr>
          <w:sz w:val="26"/>
          <w:szCs w:val="26"/>
        </w:rPr>
        <w:t>импортозамещения</w:t>
      </w:r>
      <w:proofErr w:type="spellEnd"/>
      <w:r w:rsidR="009E092D" w:rsidRPr="00067997">
        <w:rPr>
          <w:sz w:val="26"/>
          <w:szCs w:val="26"/>
        </w:rPr>
        <w:t xml:space="preserve"> при создании объек</w:t>
      </w:r>
      <w:r w:rsidRPr="00067997">
        <w:rPr>
          <w:sz w:val="26"/>
          <w:szCs w:val="26"/>
        </w:rPr>
        <w:t>тов гражданской морской техники.</w:t>
      </w:r>
    </w:p>
    <w:p w:rsidR="009E092D" w:rsidRPr="00067997" w:rsidRDefault="00B946A7" w:rsidP="0069645C">
      <w:pPr>
        <w:pStyle w:val="a3"/>
        <w:numPr>
          <w:ilvl w:val="0"/>
          <w:numId w:val="6"/>
        </w:numPr>
        <w:spacing w:before="120" w:after="0"/>
        <w:jc w:val="both"/>
        <w:rPr>
          <w:sz w:val="26"/>
          <w:szCs w:val="26"/>
        </w:rPr>
      </w:pPr>
      <w:r w:rsidRPr="00067997">
        <w:rPr>
          <w:sz w:val="26"/>
          <w:szCs w:val="26"/>
        </w:rPr>
        <w:t>П</w:t>
      </w:r>
      <w:r w:rsidR="009E092D" w:rsidRPr="00067997">
        <w:rPr>
          <w:sz w:val="26"/>
          <w:szCs w:val="26"/>
        </w:rPr>
        <w:t xml:space="preserve">роведено обоснование перспектив развития машиностроительного и приборостроительного комплекса судостроения с учетом необходимости </w:t>
      </w:r>
      <w:proofErr w:type="spellStart"/>
      <w:r w:rsidR="009E092D" w:rsidRPr="00067997">
        <w:rPr>
          <w:sz w:val="26"/>
          <w:szCs w:val="26"/>
        </w:rPr>
        <w:t>импортоз</w:t>
      </w:r>
      <w:r w:rsidRPr="00067997">
        <w:rPr>
          <w:sz w:val="26"/>
          <w:szCs w:val="26"/>
        </w:rPr>
        <w:t>амещения</w:t>
      </w:r>
      <w:proofErr w:type="spellEnd"/>
      <w:r w:rsidRPr="00067997">
        <w:rPr>
          <w:sz w:val="26"/>
          <w:szCs w:val="26"/>
        </w:rPr>
        <w:t xml:space="preserve"> продукции судостроения.</w:t>
      </w:r>
    </w:p>
    <w:p w:rsidR="009E092D" w:rsidRPr="00067997" w:rsidRDefault="00B946A7" w:rsidP="0069645C">
      <w:pPr>
        <w:pStyle w:val="a3"/>
        <w:numPr>
          <w:ilvl w:val="0"/>
          <w:numId w:val="6"/>
        </w:numPr>
        <w:spacing w:before="120" w:after="0"/>
        <w:jc w:val="both"/>
        <w:rPr>
          <w:sz w:val="26"/>
          <w:szCs w:val="26"/>
        </w:rPr>
      </w:pPr>
      <w:r w:rsidRPr="00067997">
        <w:rPr>
          <w:sz w:val="26"/>
          <w:szCs w:val="26"/>
        </w:rPr>
        <w:t>У</w:t>
      </w:r>
      <w:r w:rsidR="009E092D" w:rsidRPr="00067997">
        <w:rPr>
          <w:sz w:val="26"/>
          <w:szCs w:val="26"/>
        </w:rPr>
        <w:t xml:space="preserve">точнены технологические приоритеты развития отрасли и ключевые направления создания технологий с учетом необходимости и целесообразности реализации </w:t>
      </w:r>
      <w:proofErr w:type="spellStart"/>
      <w:r w:rsidR="009E092D" w:rsidRPr="00067997">
        <w:rPr>
          <w:sz w:val="26"/>
          <w:szCs w:val="26"/>
        </w:rPr>
        <w:t>импортозамещ</w:t>
      </w:r>
      <w:r w:rsidRPr="00067997">
        <w:rPr>
          <w:sz w:val="26"/>
          <w:szCs w:val="26"/>
        </w:rPr>
        <w:t>ения</w:t>
      </w:r>
      <w:proofErr w:type="spellEnd"/>
      <w:r w:rsidRPr="00067997">
        <w:rPr>
          <w:sz w:val="26"/>
          <w:szCs w:val="26"/>
        </w:rPr>
        <w:t xml:space="preserve"> в гражданском судостроении.</w:t>
      </w:r>
    </w:p>
    <w:p w:rsidR="009E092D" w:rsidRPr="00067997" w:rsidRDefault="00B946A7" w:rsidP="0069645C">
      <w:pPr>
        <w:pStyle w:val="a3"/>
        <w:numPr>
          <w:ilvl w:val="0"/>
          <w:numId w:val="6"/>
        </w:numPr>
        <w:spacing w:before="120" w:after="0"/>
        <w:jc w:val="both"/>
        <w:rPr>
          <w:bCs/>
          <w:iCs/>
          <w:sz w:val="26"/>
          <w:szCs w:val="26"/>
        </w:rPr>
      </w:pPr>
      <w:r w:rsidRPr="00067997">
        <w:rPr>
          <w:bCs/>
          <w:iCs/>
          <w:sz w:val="26"/>
          <w:szCs w:val="26"/>
        </w:rPr>
        <w:lastRenderedPageBreak/>
        <w:t>П</w:t>
      </w:r>
      <w:r w:rsidR="009E092D" w:rsidRPr="00067997">
        <w:rPr>
          <w:bCs/>
          <w:iCs/>
          <w:sz w:val="26"/>
          <w:szCs w:val="26"/>
        </w:rPr>
        <w:t>редставлены результаты анализа критических технологий в сфере гражда</w:t>
      </w:r>
      <w:r w:rsidR="00DC74B8" w:rsidRPr="00067997">
        <w:rPr>
          <w:bCs/>
          <w:iCs/>
          <w:sz w:val="26"/>
          <w:szCs w:val="26"/>
        </w:rPr>
        <w:t>нского судостроения и определены</w:t>
      </w:r>
      <w:r w:rsidR="009E092D" w:rsidRPr="00067997">
        <w:rPr>
          <w:bCs/>
          <w:iCs/>
          <w:sz w:val="26"/>
          <w:szCs w:val="26"/>
        </w:rPr>
        <w:t xml:space="preserve"> проблем</w:t>
      </w:r>
      <w:r w:rsidR="00DC74B8" w:rsidRPr="00067997">
        <w:rPr>
          <w:bCs/>
          <w:iCs/>
          <w:sz w:val="26"/>
          <w:szCs w:val="26"/>
        </w:rPr>
        <w:t>ы</w:t>
      </w:r>
      <w:r w:rsidR="009E092D" w:rsidRPr="00067997">
        <w:rPr>
          <w:bCs/>
          <w:iCs/>
          <w:sz w:val="26"/>
          <w:szCs w:val="26"/>
        </w:rPr>
        <w:t>, сдерживающи</w:t>
      </w:r>
      <w:r w:rsidR="00DC74B8" w:rsidRPr="00067997">
        <w:rPr>
          <w:bCs/>
          <w:iCs/>
          <w:sz w:val="26"/>
          <w:szCs w:val="26"/>
        </w:rPr>
        <w:t>е</w:t>
      </w:r>
      <w:r w:rsidR="009E092D" w:rsidRPr="00067997">
        <w:rPr>
          <w:bCs/>
          <w:iCs/>
          <w:sz w:val="26"/>
          <w:szCs w:val="26"/>
        </w:rPr>
        <w:t xml:space="preserve"> развитие научного и опытно-конструкт</w:t>
      </w:r>
      <w:r w:rsidRPr="00067997">
        <w:rPr>
          <w:bCs/>
          <w:iCs/>
          <w:sz w:val="26"/>
          <w:szCs w:val="26"/>
        </w:rPr>
        <w:t>орского потенциала судостроения.</w:t>
      </w:r>
    </w:p>
    <w:p w:rsidR="009E092D" w:rsidRPr="00067997" w:rsidRDefault="00B946A7" w:rsidP="0069645C">
      <w:pPr>
        <w:pStyle w:val="a3"/>
        <w:numPr>
          <w:ilvl w:val="0"/>
          <w:numId w:val="6"/>
        </w:numPr>
        <w:spacing w:before="120" w:after="0"/>
        <w:jc w:val="both"/>
        <w:rPr>
          <w:bCs/>
          <w:iCs/>
          <w:sz w:val="26"/>
          <w:szCs w:val="26"/>
        </w:rPr>
      </w:pPr>
      <w:r w:rsidRPr="00067997">
        <w:rPr>
          <w:bCs/>
          <w:iCs/>
          <w:sz w:val="26"/>
          <w:szCs w:val="26"/>
        </w:rPr>
        <w:t>П</w:t>
      </w:r>
      <w:r w:rsidR="009E092D" w:rsidRPr="00067997">
        <w:rPr>
          <w:bCs/>
          <w:iCs/>
          <w:sz w:val="26"/>
          <w:szCs w:val="26"/>
        </w:rPr>
        <w:t>редставлены предложения по схемам реализации судового утилизационного гранта, включая систему оценки объема финансирования мероприятий по предоставлению судового утилизационного гранта и его зависимости от технических и</w:t>
      </w:r>
      <w:r w:rsidRPr="00067997">
        <w:rPr>
          <w:bCs/>
          <w:iCs/>
          <w:sz w:val="26"/>
          <w:szCs w:val="26"/>
        </w:rPr>
        <w:t xml:space="preserve"> экономических параметров судов.</w:t>
      </w:r>
    </w:p>
    <w:p w:rsidR="00B946A7" w:rsidRPr="00067997" w:rsidRDefault="00B946A7" w:rsidP="0069645C">
      <w:pPr>
        <w:pStyle w:val="a3"/>
        <w:spacing w:before="120" w:after="0"/>
        <w:ind w:left="720"/>
        <w:jc w:val="both"/>
        <w:rPr>
          <w:bCs/>
          <w:iCs/>
          <w:sz w:val="26"/>
          <w:szCs w:val="26"/>
        </w:rPr>
      </w:pPr>
    </w:p>
    <w:p w:rsidR="00E5314D" w:rsidRPr="00067997" w:rsidRDefault="00E5314D" w:rsidP="0069645C">
      <w:pPr>
        <w:spacing w:before="120" w:after="120"/>
        <w:rPr>
          <w:b/>
          <w:sz w:val="26"/>
          <w:szCs w:val="26"/>
          <w:u w:val="single"/>
        </w:rPr>
      </w:pPr>
      <w:r w:rsidRPr="00067997">
        <w:rPr>
          <w:b/>
          <w:sz w:val="26"/>
          <w:szCs w:val="26"/>
          <w:u w:val="single"/>
        </w:rPr>
        <w:t>Область применения</w:t>
      </w:r>
      <w:r w:rsidR="00066FC5" w:rsidRPr="00067997">
        <w:rPr>
          <w:b/>
          <w:sz w:val="26"/>
          <w:szCs w:val="26"/>
          <w:u w:val="single"/>
        </w:rPr>
        <w:t>.</w:t>
      </w:r>
    </w:p>
    <w:p w:rsidR="007C6629" w:rsidRPr="00067997" w:rsidRDefault="007C6629" w:rsidP="0069645C">
      <w:pPr>
        <w:spacing w:after="120"/>
        <w:ind w:firstLine="709"/>
        <w:jc w:val="both"/>
        <w:rPr>
          <w:sz w:val="26"/>
          <w:szCs w:val="26"/>
        </w:rPr>
      </w:pPr>
      <w:r w:rsidRPr="00067997">
        <w:rPr>
          <w:sz w:val="26"/>
          <w:szCs w:val="26"/>
        </w:rPr>
        <w:t>Результаты работы планируется использовать при формировании и осуществлении государственной политики в области развития судостроения, а также для принятия мер по технологической модернизации судостроительной промышленности в целях повышения ее конкурентоспособности, в том числе при разработке Стратегии развития судостроительной промышленности на период до 2035 года и на дальнейшую перспективу, а также долгосрочных программ развития отрасли.</w:t>
      </w:r>
    </w:p>
    <w:p w:rsidR="00066FC5" w:rsidRPr="00067997" w:rsidRDefault="00066FC5" w:rsidP="0069645C">
      <w:pPr>
        <w:spacing w:before="120" w:after="120"/>
        <w:rPr>
          <w:b/>
          <w:sz w:val="26"/>
          <w:szCs w:val="26"/>
          <w:u w:val="single"/>
        </w:rPr>
      </w:pPr>
      <w:r w:rsidRPr="00067997">
        <w:rPr>
          <w:b/>
          <w:sz w:val="26"/>
          <w:szCs w:val="26"/>
          <w:u w:val="single"/>
        </w:rPr>
        <w:t>Потенциальные потребители.</w:t>
      </w:r>
    </w:p>
    <w:p w:rsidR="00066FC5" w:rsidRPr="00067997" w:rsidRDefault="00066FC5" w:rsidP="0069645C">
      <w:pPr>
        <w:pStyle w:val="a3"/>
        <w:numPr>
          <w:ilvl w:val="0"/>
          <w:numId w:val="6"/>
        </w:numPr>
        <w:spacing w:after="0"/>
        <w:jc w:val="both"/>
        <w:rPr>
          <w:bCs/>
          <w:iCs/>
          <w:sz w:val="26"/>
          <w:szCs w:val="26"/>
        </w:rPr>
      </w:pPr>
      <w:proofErr w:type="spellStart"/>
      <w:r w:rsidRPr="00067997">
        <w:rPr>
          <w:bCs/>
          <w:iCs/>
          <w:sz w:val="26"/>
          <w:szCs w:val="26"/>
        </w:rPr>
        <w:t>Минпромторг</w:t>
      </w:r>
      <w:proofErr w:type="spellEnd"/>
      <w:r w:rsidRPr="00067997">
        <w:rPr>
          <w:bCs/>
          <w:iCs/>
          <w:sz w:val="26"/>
          <w:szCs w:val="26"/>
        </w:rPr>
        <w:t xml:space="preserve"> России;</w:t>
      </w:r>
    </w:p>
    <w:p w:rsidR="00066FC5" w:rsidRPr="00067997" w:rsidRDefault="00DC74B8" w:rsidP="0069645C">
      <w:pPr>
        <w:pStyle w:val="a3"/>
        <w:numPr>
          <w:ilvl w:val="0"/>
          <w:numId w:val="6"/>
        </w:numPr>
        <w:spacing w:after="0"/>
        <w:jc w:val="both"/>
        <w:rPr>
          <w:bCs/>
          <w:iCs/>
          <w:sz w:val="26"/>
          <w:szCs w:val="26"/>
        </w:rPr>
      </w:pPr>
      <w:r w:rsidRPr="00067997">
        <w:rPr>
          <w:bCs/>
          <w:iCs/>
          <w:sz w:val="26"/>
          <w:szCs w:val="26"/>
        </w:rPr>
        <w:t>Прочие з</w:t>
      </w:r>
      <w:r w:rsidR="00066FC5" w:rsidRPr="00067997">
        <w:rPr>
          <w:bCs/>
          <w:iCs/>
          <w:sz w:val="26"/>
          <w:szCs w:val="26"/>
        </w:rPr>
        <w:t>аинтересованные ФОИВ;</w:t>
      </w:r>
    </w:p>
    <w:p w:rsidR="00066FC5" w:rsidRPr="00067997" w:rsidRDefault="00DC74B8" w:rsidP="0069645C">
      <w:pPr>
        <w:pStyle w:val="a3"/>
        <w:numPr>
          <w:ilvl w:val="0"/>
          <w:numId w:val="6"/>
        </w:numPr>
        <w:spacing w:after="0"/>
        <w:jc w:val="both"/>
        <w:rPr>
          <w:bCs/>
          <w:iCs/>
          <w:sz w:val="26"/>
          <w:szCs w:val="26"/>
        </w:rPr>
      </w:pPr>
      <w:r w:rsidRPr="00067997">
        <w:rPr>
          <w:bCs/>
          <w:iCs/>
          <w:sz w:val="26"/>
          <w:szCs w:val="26"/>
        </w:rPr>
        <w:t xml:space="preserve">предприятия судостроительной отрасли, </w:t>
      </w:r>
      <w:r w:rsidR="00066FC5" w:rsidRPr="00067997">
        <w:rPr>
          <w:bCs/>
          <w:iCs/>
          <w:sz w:val="26"/>
          <w:szCs w:val="26"/>
        </w:rPr>
        <w:t>ПАО «Газпром» и другие нефтегазодобывающие компании.</w:t>
      </w:r>
    </w:p>
    <w:p w:rsidR="007C6629" w:rsidRPr="00067997" w:rsidRDefault="007C6629" w:rsidP="0069645C">
      <w:pPr>
        <w:spacing w:after="120"/>
        <w:rPr>
          <w:b/>
          <w:sz w:val="26"/>
          <w:szCs w:val="26"/>
          <w:u w:val="single"/>
        </w:rPr>
      </w:pPr>
      <w:r w:rsidRPr="00067997">
        <w:rPr>
          <w:b/>
          <w:sz w:val="26"/>
          <w:szCs w:val="26"/>
          <w:u w:val="single"/>
        </w:rPr>
        <w:t>Предложения по внедрению</w:t>
      </w:r>
      <w:r w:rsidR="00066FC5" w:rsidRPr="00067997">
        <w:rPr>
          <w:b/>
          <w:sz w:val="26"/>
          <w:szCs w:val="26"/>
          <w:u w:val="single"/>
        </w:rPr>
        <w:t>.</w:t>
      </w:r>
    </w:p>
    <w:p w:rsidR="007C6629" w:rsidRPr="007C6629" w:rsidRDefault="007C6629" w:rsidP="0069645C">
      <w:pPr>
        <w:spacing w:after="120"/>
        <w:ind w:firstLine="709"/>
        <w:jc w:val="both"/>
        <w:rPr>
          <w:sz w:val="26"/>
          <w:szCs w:val="26"/>
        </w:rPr>
      </w:pPr>
      <w:r w:rsidRPr="00067997">
        <w:rPr>
          <w:sz w:val="26"/>
          <w:szCs w:val="26"/>
        </w:rPr>
        <w:t xml:space="preserve">Основные результаты работы направлены Заказчику для осуществления координации научно-технической деятельности отрасли </w:t>
      </w:r>
      <w:r w:rsidRPr="007C6629">
        <w:rPr>
          <w:sz w:val="26"/>
          <w:szCs w:val="26"/>
        </w:rPr>
        <w:t>в целом.</w:t>
      </w:r>
    </w:p>
    <w:sectPr w:rsidR="007C6629" w:rsidRPr="007C6629" w:rsidSect="003E11C2">
      <w:footerReference w:type="default" r:id="rId14"/>
      <w:pgSz w:w="11906" w:h="16838"/>
      <w:pgMar w:top="851" w:right="680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B3" w:rsidRDefault="00F460B3" w:rsidP="00F460B3">
      <w:r>
        <w:separator/>
      </w:r>
    </w:p>
  </w:endnote>
  <w:endnote w:type="continuationSeparator" w:id="0">
    <w:p w:rsidR="00F460B3" w:rsidRDefault="00F460B3" w:rsidP="00F4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717093"/>
      <w:docPartObj>
        <w:docPartGallery w:val="Page Numbers (Bottom of Page)"/>
        <w:docPartUnique/>
      </w:docPartObj>
    </w:sdtPr>
    <w:sdtContent>
      <w:p w:rsidR="00F460B3" w:rsidRDefault="00F460B3" w:rsidP="00F460B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1C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B3" w:rsidRDefault="00F460B3" w:rsidP="00F460B3">
      <w:r>
        <w:separator/>
      </w:r>
    </w:p>
  </w:footnote>
  <w:footnote w:type="continuationSeparator" w:id="0">
    <w:p w:rsidR="00F460B3" w:rsidRDefault="00F460B3" w:rsidP="00F4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60CF"/>
    <w:multiLevelType w:val="hybridMultilevel"/>
    <w:tmpl w:val="7E04E07E"/>
    <w:lvl w:ilvl="0" w:tplc="F190B7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AD5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C0C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ABB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415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E56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077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82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ECF0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98764D"/>
    <w:multiLevelType w:val="hybridMultilevel"/>
    <w:tmpl w:val="7DCECD4E"/>
    <w:lvl w:ilvl="0" w:tplc="2116B9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C11923"/>
    <w:multiLevelType w:val="hybridMultilevel"/>
    <w:tmpl w:val="2648EA42"/>
    <w:lvl w:ilvl="0" w:tplc="737E4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867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6F3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CE3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7AB9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A79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0E5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022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6A7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5CC4006"/>
    <w:multiLevelType w:val="hybridMultilevel"/>
    <w:tmpl w:val="CC6854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E7F693C"/>
    <w:multiLevelType w:val="hybridMultilevel"/>
    <w:tmpl w:val="039CE0E8"/>
    <w:lvl w:ilvl="0" w:tplc="B04E49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75712"/>
    <w:multiLevelType w:val="hybridMultilevel"/>
    <w:tmpl w:val="4F4C97EA"/>
    <w:lvl w:ilvl="0" w:tplc="9C04B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F1BEF"/>
    <w:multiLevelType w:val="hybridMultilevel"/>
    <w:tmpl w:val="A5A65D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EA769C6"/>
    <w:multiLevelType w:val="hybridMultilevel"/>
    <w:tmpl w:val="2A08E790"/>
    <w:lvl w:ilvl="0" w:tplc="2BEC6C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32B1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4234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6BF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90D2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AEDC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0F1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23E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04E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875109"/>
    <w:multiLevelType w:val="hybridMultilevel"/>
    <w:tmpl w:val="F9C244FE"/>
    <w:lvl w:ilvl="0" w:tplc="375652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E4B0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25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846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B613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E19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CE3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827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1EF4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770D6DE0"/>
    <w:multiLevelType w:val="multilevel"/>
    <w:tmpl w:val="3C74C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066FC5"/>
    <w:rsid w:val="00067997"/>
    <w:rsid w:val="001E5BC7"/>
    <w:rsid w:val="00206951"/>
    <w:rsid w:val="002548E7"/>
    <w:rsid w:val="00263033"/>
    <w:rsid w:val="002C1365"/>
    <w:rsid w:val="00334A47"/>
    <w:rsid w:val="00391C73"/>
    <w:rsid w:val="003969D3"/>
    <w:rsid w:val="003E11C2"/>
    <w:rsid w:val="003E6AB9"/>
    <w:rsid w:val="004D1FD6"/>
    <w:rsid w:val="004F452A"/>
    <w:rsid w:val="00500330"/>
    <w:rsid w:val="00526241"/>
    <w:rsid w:val="0054109B"/>
    <w:rsid w:val="00576897"/>
    <w:rsid w:val="00592B09"/>
    <w:rsid w:val="00662D75"/>
    <w:rsid w:val="0069645C"/>
    <w:rsid w:val="006E60D9"/>
    <w:rsid w:val="00737FDF"/>
    <w:rsid w:val="007474C1"/>
    <w:rsid w:val="007C6629"/>
    <w:rsid w:val="00861709"/>
    <w:rsid w:val="008907D9"/>
    <w:rsid w:val="00895BA9"/>
    <w:rsid w:val="009249DB"/>
    <w:rsid w:val="00952F97"/>
    <w:rsid w:val="009641D6"/>
    <w:rsid w:val="009857F8"/>
    <w:rsid w:val="00993968"/>
    <w:rsid w:val="009E092D"/>
    <w:rsid w:val="009E4C32"/>
    <w:rsid w:val="00A95186"/>
    <w:rsid w:val="00AD44D7"/>
    <w:rsid w:val="00AD517F"/>
    <w:rsid w:val="00AD728D"/>
    <w:rsid w:val="00AF39F6"/>
    <w:rsid w:val="00B24E5E"/>
    <w:rsid w:val="00B946A7"/>
    <w:rsid w:val="00BF2F23"/>
    <w:rsid w:val="00BF4238"/>
    <w:rsid w:val="00C07F8B"/>
    <w:rsid w:val="00C15DF9"/>
    <w:rsid w:val="00C60BFA"/>
    <w:rsid w:val="00D253B6"/>
    <w:rsid w:val="00DC74B8"/>
    <w:rsid w:val="00E5314D"/>
    <w:rsid w:val="00F42E31"/>
    <w:rsid w:val="00F460B3"/>
    <w:rsid w:val="00F6493C"/>
    <w:rsid w:val="00FA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,Заг-1,Заг 1,Head 1,????????? 1,Заголовок биораз,Caaieiaie aei?ac,OG Heading 1,caaieiaie 1,Заголовок Глава 1,Боковой заголовок 1,раздел,раздел1,раздел2,раздел3,раздел11,раздел21,раздел4,раздел12,раздел22,раздел5"/>
    <w:basedOn w:val="a"/>
    <w:next w:val="a"/>
    <w:link w:val="10"/>
    <w:uiPriority w:val="9"/>
    <w:qFormat/>
    <w:rsid w:val="00526241"/>
    <w:pPr>
      <w:keepNext/>
      <w:pageBreakBefore/>
      <w:tabs>
        <w:tab w:val="left" w:pos="598"/>
        <w:tab w:val="left" w:pos="792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ПАРАГРАФ"/>
    <w:basedOn w:val="a"/>
    <w:link w:val="a6"/>
    <w:uiPriority w:val="34"/>
    <w:qFormat/>
    <w:rsid w:val="00E5314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C662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C66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 Знак,Заг-1 Знак,Заг 1 Знак,Head 1 Знак,????????? 1 Знак,Заголовок биораз Знак,Caaieiaie aei?ac Знак,OG Heading 1 Знак,caaieiaie 1 Знак,Заголовок Глава 1 Знак,Боковой заголовок 1 Знак,раздел Знак,раздел1 Знак"/>
    <w:basedOn w:val="a0"/>
    <w:link w:val="1"/>
    <w:uiPriority w:val="9"/>
    <w:rsid w:val="00526241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985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1F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F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07F8B"/>
    <w:pPr>
      <w:spacing w:before="100" w:beforeAutospacing="1" w:after="100" w:afterAutospacing="1"/>
    </w:pPr>
    <w:rPr>
      <w:rFonts w:eastAsiaTheme="minorEastAsia"/>
    </w:rPr>
  </w:style>
  <w:style w:type="paragraph" w:styleId="ac">
    <w:name w:val="header"/>
    <w:basedOn w:val="a"/>
    <w:link w:val="ad"/>
    <w:uiPriority w:val="99"/>
    <w:unhideWhenUsed/>
    <w:rsid w:val="00F460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6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460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6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,Заг-1,Заг 1,Head 1,????????? 1,Заголовок биораз,Caaieiaie aei?ac,OG Heading 1,caaieiaie 1,Заголовок Глава 1,Боковой заголовок 1,раздел,раздел1,раздел2,раздел3,раздел11,раздел21,раздел4,раздел12,раздел22,раздел5"/>
    <w:basedOn w:val="a"/>
    <w:next w:val="a"/>
    <w:link w:val="10"/>
    <w:uiPriority w:val="9"/>
    <w:qFormat/>
    <w:rsid w:val="00526241"/>
    <w:pPr>
      <w:keepNext/>
      <w:pageBreakBefore/>
      <w:tabs>
        <w:tab w:val="left" w:pos="598"/>
        <w:tab w:val="left" w:pos="792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ПАРАГРАФ"/>
    <w:basedOn w:val="a"/>
    <w:link w:val="a6"/>
    <w:uiPriority w:val="34"/>
    <w:qFormat/>
    <w:rsid w:val="00E5314D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7C662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C66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 Знак,Заг-1 Знак,Заг 1 Знак,Head 1 Знак,????????? 1 Знак,Заголовок биораз Знак,Caaieiaie aei?ac Знак,OG Heading 1 Знак,caaieiaie 1 Знак,Заголовок Глава 1 Знак,Боковой заголовок 1 Знак,раздел Знак,раздел1 Знак"/>
    <w:basedOn w:val="a0"/>
    <w:link w:val="1"/>
    <w:uiPriority w:val="9"/>
    <w:rsid w:val="00526241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985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1F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F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C07F8B"/>
    <w:pPr>
      <w:spacing w:before="100" w:beforeAutospacing="1" w:after="100" w:afterAutospacing="1"/>
    </w:pPr>
    <w:rPr>
      <w:rFonts w:eastAsiaTheme="minorEastAsia"/>
    </w:rPr>
  </w:style>
  <w:style w:type="paragraph" w:styleId="ac">
    <w:name w:val="header"/>
    <w:basedOn w:val="a"/>
    <w:link w:val="ad"/>
    <w:uiPriority w:val="99"/>
    <w:unhideWhenUsed/>
    <w:rsid w:val="00F460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6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460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60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6836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91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84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20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480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9106417087085673"/>
          <c:y val="0.1100860837991106"/>
          <c:w val="0.55401354770773414"/>
          <c:h val="0.737570886540736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Лист2!$B$32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numRef>
              <c:f>Лист2!$C$31:$E$31</c:f>
              <c:numCache>
                <c:formatCode>General</c:formatCode>
                <c:ptCount val="3"/>
                <c:pt idx="0">
                  <c:v>2010</c:v>
                </c:pt>
                <c:pt idx="1">
                  <c:v>2015</c:v>
                </c:pt>
                <c:pt idx="2">
                  <c:v>2020</c:v>
                </c:pt>
              </c:numCache>
            </c:numRef>
          </c:cat>
          <c:val>
            <c:numRef>
              <c:f>Лист2!$C$32:$E$32</c:f>
              <c:numCache>
                <c:formatCode>General</c:formatCode>
                <c:ptCount val="3"/>
                <c:pt idx="0">
                  <c:v>710</c:v>
                </c:pt>
                <c:pt idx="1">
                  <c:v>1100</c:v>
                </c:pt>
                <c:pt idx="2">
                  <c:v>1600</c:v>
                </c:pt>
              </c:numCache>
            </c:numRef>
          </c:val>
        </c:ser>
        <c:ser>
          <c:idx val="1"/>
          <c:order val="1"/>
          <c:tx>
            <c:strRef>
              <c:f>Лист2!$B$33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numRef>
              <c:f>Лист2!$C$31:$E$31</c:f>
              <c:numCache>
                <c:formatCode>General</c:formatCode>
                <c:ptCount val="3"/>
                <c:pt idx="0">
                  <c:v>2010</c:v>
                </c:pt>
                <c:pt idx="1">
                  <c:v>2015</c:v>
                </c:pt>
                <c:pt idx="2">
                  <c:v>2020</c:v>
                </c:pt>
              </c:numCache>
            </c:numRef>
          </c:cat>
          <c:val>
            <c:numRef>
              <c:f>Лист2!$C$33:$E$33</c:f>
              <c:numCache>
                <c:formatCode>General</c:formatCode>
                <c:ptCount val="3"/>
                <c:pt idx="0">
                  <c:v>634</c:v>
                </c:pt>
                <c:pt idx="1">
                  <c:v>1429</c:v>
                </c:pt>
                <c:pt idx="2">
                  <c:v>2427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431040"/>
        <c:axId val="39936000"/>
      </c:barChart>
      <c:catAx>
        <c:axId val="10943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39936000"/>
        <c:crosses val="autoZero"/>
        <c:auto val="1"/>
        <c:lblAlgn val="ctr"/>
        <c:lblOffset val="100"/>
        <c:noMultiLvlLbl val="0"/>
      </c:catAx>
      <c:valAx>
        <c:axId val="39936000"/>
        <c:scaling>
          <c:orientation val="minMax"/>
        </c:scaling>
        <c:delete val="1"/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lgDash"/>
            </a:ln>
          </c:spPr>
        </c:majorGridlines>
        <c:numFmt formatCode="#,##0" sourceLinked="0"/>
        <c:majorTickMark val="out"/>
        <c:minorTickMark val="none"/>
        <c:tickLblPos val="nextTo"/>
        <c:crossAx val="109431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705895296022131"/>
          <c:y val="6.9352807582989964E-2"/>
          <c:w val="0.22986373709274366"/>
          <c:h val="0.56121686861681153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300"/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Лист2!$B$9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numRef>
              <c:f>Лист2!$C$8:$E$8</c:f>
              <c:numCache>
                <c:formatCode>General</c:formatCode>
                <c:ptCount val="3"/>
                <c:pt idx="0">
                  <c:v>2010</c:v>
                </c:pt>
                <c:pt idx="1">
                  <c:v>2015</c:v>
                </c:pt>
                <c:pt idx="2">
                  <c:v>2020</c:v>
                </c:pt>
              </c:numCache>
            </c:numRef>
          </c:cat>
          <c:val>
            <c:numRef>
              <c:f>Лист2!$C$9:$E$9</c:f>
              <c:numCache>
                <c:formatCode>General</c:formatCode>
                <c:ptCount val="3"/>
                <c:pt idx="0">
                  <c:v>1.5</c:v>
                </c:pt>
                <c:pt idx="1">
                  <c:v>2.2000000000000002</c:v>
                </c:pt>
                <c:pt idx="2">
                  <c:v>3.1</c:v>
                </c:pt>
              </c:numCache>
            </c:numRef>
          </c:val>
        </c:ser>
        <c:ser>
          <c:idx val="1"/>
          <c:order val="1"/>
          <c:tx>
            <c:strRef>
              <c:f>Лист2!$B$10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numRef>
              <c:f>Лист2!$C$8:$E$8</c:f>
              <c:numCache>
                <c:formatCode>General</c:formatCode>
                <c:ptCount val="3"/>
                <c:pt idx="0">
                  <c:v>2010</c:v>
                </c:pt>
                <c:pt idx="1">
                  <c:v>2015</c:v>
                </c:pt>
                <c:pt idx="2">
                  <c:v>2020</c:v>
                </c:pt>
              </c:numCache>
            </c:numRef>
          </c:cat>
          <c:val>
            <c:numRef>
              <c:f>Лист2!$C$10:$E$10</c:f>
              <c:numCache>
                <c:formatCode>General</c:formatCode>
                <c:ptCount val="3"/>
                <c:pt idx="0">
                  <c:v>1.8</c:v>
                </c:pt>
                <c:pt idx="1">
                  <c:v>3.4</c:v>
                </c:pt>
                <c:pt idx="2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268032"/>
        <c:axId val="112269568"/>
      </c:barChart>
      <c:catAx>
        <c:axId val="112268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12269568"/>
        <c:crosses val="autoZero"/>
        <c:auto val="1"/>
        <c:lblAlgn val="ctr"/>
        <c:lblOffset val="100"/>
        <c:noMultiLvlLbl val="0"/>
      </c:catAx>
      <c:valAx>
        <c:axId val="112269568"/>
        <c:scaling>
          <c:orientation val="minMax"/>
        </c:scaling>
        <c:delete val="1"/>
        <c:axPos val="l"/>
        <c:majorGridlines>
          <c:spPr>
            <a:ln>
              <a:solidFill>
                <a:schemeClr val="bg1">
                  <a:lumMod val="75000"/>
                </a:schemeClr>
              </a:solidFill>
              <a:prstDash val="lgDash"/>
            </a:ln>
          </c:spPr>
        </c:majorGridlines>
        <c:numFmt formatCode="#,##0" sourceLinked="0"/>
        <c:majorTickMark val="out"/>
        <c:minorTickMark val="none"/>
        <c:tickLblPos val="nextTo"/>
        <c:crossAx val="112268032"/>
        <c:crosses val="autoZero"/>
        <c:crossBetween val="between"/>
      </c:valAx>
      <c:spPr>
        <a:solidFill>
          <a:sysClr val="window" lastClr="FFFFFF"/>
        </a:solidFill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300"/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2"/>
          <c:order val="0"/>
          <c:tx>
            <c:strRef>
              <c:f>ФО!$A$8</c:f>
              <c:strCache>
                <c:ptCount val="1"/>
                <c:pt idx="0">
                  <c:v>прочие</c:v>
                </c:pt>
              </c:strCache>
            </c:strRef>
          </c:tx>
          <c:invertIfNegative val="0"/>
          <c:cat>
            <c:numRef>
              <c:f>ФО!$B$4:$M$4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ФО!$B$8:$M$8</c:f>
              <c:numCache>
                <c:formatCode>0.0</c:formatCode>
                <c:ptCount val="12"/>
                <c:pt idx="0">
                  <c:v>1.1140000000000001</c:v>
                </c:pt>
                <c:pt idx="1">
                  <c:v>1.274</c:v>
                </c:pt>
                <c:pt idx="2">
                  <c:v>0.11399999999999999</c:v>
                </c:pt>
                <c:pt idx="3">
                  <c:v>0.10300000000000001</c:v>
                </c:pt>
                <c:pt idx="4">
                  <c:v>0.106</c:v>
                </c:pt>
                <c:pt idx="5">
                  <c:v>9.1999999999999998E-2</c:v>
                </c:pt>
                <c:pt idx="6">
                  <c:v>0.13400000000000001</c:v>
                </c:pt>
                <c:pt idx="7" formatCode="0.00">
                  <c:v>0.13090000000000002</c:v>
                </c:pt>
                <c:pt idx="8" formatCode="0.00">
                  <c:v>0.36599999999999999</c:v>
                </c:pt>
                <c:pt idx="9" formatCode="0.00">
                  <c:v>0.66600000000000004</c:v>
                </c:pt>
                <c:pt idx="10" formatCode="0.00">
                  <c:v>0.56900000000000006</c:v>
                </c:pt>
                <c:pt idx="11" formatCode="0.00">
                  <c:v>0.56300000000000006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EB-4001-A123-C0006BE3DEA0}"/>
            </c:ext>
          </c:extLst>
        </c:ser>
        <c:ser>
          <c:idx val="1"/>
          <c:order val="1"/>
          <c:tx>
            <c:strRef>
              <c:f>ФО!$A$7</c:f>
              <c:strCache>
                <c:ptCount val="1"/>
                <c:pt idx="0">
                  <c:v>по научной сфере</c:v>
                </c:pt>
              </c:strCache>
            </c:strRef>
          </c:tx>
          <c:invertIfNegative val="0"/>
          <c:cat>
            <c:numRef>
              <c:f>ФО!$B$4:$M$4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ФО!$B$7:$M$7</c:f>
              <c:numCache>
                <c:formatCode>0.0</c:formatCode>
                <c:ptCount val="12"/>
                <c:pt idx="0">
                  <c:v>31.364000000000001</c:v>
                </c:pt>
                <c:pt idx="1">
                  <c:v>31.091000000000001</c:v>
                </c:pt>
                <c:pt idx="2">
                  <c:v>29.751999999999999</c:v>
                </c:pt>
                <c:pt idx="3">
                  <c:v>28.600999999999999</c:v>
                </c:pt>
                <c:pt idx="4">
                  <c:v>28.53</c:v>
                </c:pt>
                <c:pt idx="5">
                  <c:v>28.678000000000001</c:v>
                </c:pt>
                <c:pt idx="6">
                  <c:v>27.321999999999999</c:v>
                </c:pt>
                <c:pt idx="7">
                  <c:v>26.827999999999999</c:v>
                </c:pt>
                <c:pt idx="8">
                  <c:v>27.390999999999998</c:v>
                </c:pt>
                <c:pt idx="9" formatCode="0.00">
                  <c:v>28.72</c:v>
                </c:pt>
                <c:pt idx="10" formatCode="0.00">
                  <c:v>30.097000000000001</c:v>
                </c:pt>
                <c:pt idx="11" formatCode="0.00">
                  <c:v>30.588000000000001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EB-4001-A123-C0006BE3DEA0}"/>
            </c:ext>
          </c:extLst>
        </c:ser>
        <c:ser>
          <c:idx val="0"/>
          <c:order val="2"/>
          <c:tx>
            <c:strRef>
              <c:f>ФО!$A$6</c:f>
              <c:strCache>
                <c:ptCount val="1"/>
                <c:pt idx="0">
                  <c:v>по промышленной сфере</c:v>
                </c:pt>
              </c:strCache>
            </c:strRef>
          </c:tx>
          <c:invertIfNegative val="0"/>
          <c:cat>
            <c:numRef>
              <c:f>ФО!$B$4:$M$4</c:f>
              <c:numCache>
                <c:formatCode>General</c:formatCode>
                <c:ptCount val="12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</c:numCache>
            </c:numRef>
          </c:cat>
          <c:val>
            <c:numRef>
              <c:f>ФО!$B$6:$M$6</c:f>
              <c:numCache>
                <c:formatCode>0.0</c:formatCode>
                <c:ptCount val="12"/>
                <c:pt idx="0">
                  <c:v>151.16</c:v>
                </c:pt>
                <c:pt idx="1">
                  <c:v>148.38800000000001</c:v>
                </c:pt>
                <c:pt idx="2">
                  <c:v>143.416</c:v>
                </c:pt>
                <c:pt idx="3">
                  <c:v>134.34100000000001</c:v>
                </c:pt>
                <c:pt idx="4">
                  <c:v>130.75700000000001</c:v>
                </c:pt>
                <c:pt idx="5">
                  <c:v>131.85</c:v>
                </c:pt>
                <c:pt idx="6">
                  <c:v>129.042</c:v>
                </c:pt>
                <c:pt idx="7">
                  <c:v>126.483</c:v>
                </c:pt>
                <c:pt idx="8">
                  <c:v>126.821</c:v>
                </c:pt>
                <c:pt idx="9" formatCode="0.00">
                  <c:v>130.79</c:v>
                </c:pt>
                <c:pt idx="10" formatCode="0.00">
                  <c:v>145.66200000000001</c:v>
                </c:pt>
                <c:pt idx="11" formatCode="0.00">
                  <c:v>152.47200000000001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EB-4001-A123-C0006BE3DE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774592"/>
        <c:axId val="113776128"/>
      </c:barChart>
      <c:lineChart>
        <c:grouping val="standard"/>
        <c:varyColors val="0"/>
        <c:ser>
          <c:idx val="3"/>
          <c:order val="3"/>
          <c:spPr>
            <a:ln>
              <a:noFill/>
            </a:ln>
          </c:spPr>
          <c:marker>
            <c:symbol val="x"/>
            <c:size val="6"/>
          </c:marker>
          <c:val>
            <c:numRef>
              <c:f>ФО!$B$5:$M$5</c:f>
              <c:numCache>
                <c:formatCode>0.0</c:formatCode>
                <c:ptCount val="12"/>
                <c:pt idx="0">
                  <c:v>183.63800000000001</c:v>
                </c:pt>
                <c:pt idx="1">
                  <c:v>180.75300000000001</c:v>
                </c:pt>
                <c:pt idx="2">
                  <c:v>173.28200000000001</c:v>
                </c:pt>
                <c:pt idx="3">
                  <c:v>163.04500000000002</c:v>
                </c:pt>
                <c:pt idx="4">
                  <c:v>159.393</c:v>
                </c:pt>
                <c:pt idx="5">
                  <c:v>160.62</c:v>
                </c:pt>
                <c:pt idx="6">
                  <c:v>156.49799999999999</c:v>
                </c:pt>
                <c:pt idx="7">
                  <c:v>153.4419</c:v>
                </c:pt>
                <c:pt idx="8">
                  <c:v>154.578</c:v>
                </c:pt>
                <c:pt idx="9" formatCode="0.00">
                  <c:v>160.17599999999999</c:v>
                </c:pt>
                <c:pt idx="10" formatCode="0.00">
                  <c:v>176.328</c:v>
                </c:pt>
                <c:pt idx="11" formatCode="0.00">
                  <c:v>183.62299999999999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B9EB-4001-A123-C0006BE3DE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774592"/>
        <c:axId val="113776128"/>
      </c:lineChart>
      <c:catAx>
        <c:axId val="113774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13776128"/>
        <c:crosses val="autoZero"/>
        <c:auto val="1"/>
        <c:lblAlgn val="ctr"/>
        <c:lblOffset val="100"/>
        <c:noMultiLvlLbl val="0"/>
      </c:catAx>
      <c:valAx>
        <c:axId val="113776128"/>
        <c:scaling>
          <c:orientation val="minMax"/>
        </c:scaling>
        <c:delete val="1"/>
        <c:axPos val="l"/>
        <c:majorGridlines>
          <c:spPr>
            <a:ln>
              <a:solidFill>
                <a:sysClr val="window" lastClr="FFFFFF">
                  <a:lumMod val="95000"/>
                </a:sysClr>
              </a:solidFill>
            </a:ln>
          </c:spPr>
        </c:majorGridlines>
        <c:numFmt formatCode="0" sourceLinked="0"/>
        <c:majorTickMark val="out"/>
        <c:minorTickMark val="none"/>
        <c:tickLblPos val="nextTo"/>
        <c:crossAx val="113774592"/>
        <c:crosses val="autoZero"/>
        <c:crossBetween val="between"/>
      </c:valAx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6.4464523901725398E-2"/>
          <c:y val="0.77501617277093471"/>
          <c:w val="0.93553547609827459"/>
          <c:h val="0.19178880648217728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+mn-lt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14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9D2-4263-A4E1-C64BED163D9C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9D2-4263-A4E1-C64BED163D9C}"/>
              </c:ext>
            </c:extLst>
          </c:dPt>
          <c:dLbls>
            <c:dLbl>
              <c:idx val="0"/>
              <c:layout>
                <c:manualLayout>
                  <c:x val="1.7923665791776032E-2"/>
                  <c:y val="-2.0217993584135317E-2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9D2-4263-A4E1-C64BED163D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020195173301034E-2"/>
                  <c:y val="-8.4146252551764358E-3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9D2-4263-A4E1-C64BED163D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4999999999999897E-2"/>
                  <c:y val="1.3451443569553806E-3"/>
                </c:manualLayout>
              </c:layout>
              <c:dLblPos val="bestFit"/>
              <c:showLegendKey val="1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9D2-4263-A4E1-C64BED163D9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ФО!$K$47:$K$49</c:f>
              <c:strCache>
                <c:ptCount val="3"/>
                <c:pt idx="0">
                  <c:v>Производственная</c:v>
                </c:pt>
                <c:pt idx="1">
                  <c:v>Научно-техническая</c:v>
                </c:pt>
                <c:pt idx="2">
                  <c:v>Прочие</c:v>
                </c:pt>
              </c:strCache>
            </c:strRef>
          </c:cat>
          <c:val>
            <c:numRef>
              <c:f>ФО!$N$47:$N$49</c:f>
              <c:numCache>
                <c:formatCode>0.0%</c:formatCode>
                <c:ptCount val="3"/>
                <c:pt idx="0">
                  <c:v>0.83035349602174024</c:v>
                </c:pt>
                <c:pt idx="1">
                  <c:v>0.16658043926959043</c:v>
                </c:pt>
                <c:pt idx="2">
                  <c:v>3.0660647086693939E-3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9D2-4263-A4E1-C64BED163D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+mn-lt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824701489778564E-2"/>
          <c:y val="0.13246787156786749"/>
          <c:w val="0.68744815348785626"/>
          <c:h val="0.72651788992697153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4.9081964754405696E-2"/>
                  <c:y val="-1.7698673082531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F95-4DE0-A3D1-3B073739150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3328283964504437E-2"/>
                  <c:y val="-5.3984033245844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F95-4DE0-A3D1-3B073739150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7863767029121358E-2"/>
                  <c:y val="0.117495625546806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F95-4DE0-A3D1-3B073739150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073540807399074E-2"/>
                  <c:y val="6.00648877223680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F95-4DE0-A3D1-3B073739150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372628421447319E-2"/>
                  <c:y val="-4.92454068241469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F95-4DE0-A3D1-3B073739150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5715585551806028E-2"/>
                  <c:y val="2.54093759113444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F95-4DE0-A3D1-3B073739150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5428634800931573E-3"/>
                  <c:y val="-7.2110209021799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F95-4DE0-A3D1-3B073739150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6.8508436445444323E-3"/>
                  <c:y val="-7.184711286089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F95-4DE0-A3D1-3B073739150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6.1211348581427322E-2"/>
                  <c:y val="-1.619750656167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F95-4DE0-A3D1-3B073739150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'мировой флот'!$A$3:$A$12</c:f>
              <c:strCache>
                <c:ptCount val="10"/>
                <c:pt idx="0">
                  <c:v>Китай</c:v>
                </c:pt>
                <c:pt idx="1">
                  <c:v>Южная Корея</c:v>
                </c:pt>
                <c:pt idx="2">
                  <c:v>Япония</c:v>
                </c:pt>
                <c:pt idx="3">
                  <c:v>Гонконг</c:v>
                </c:pt>
                <c:pt idx="4">
                  <c:v>Сингапур</c:v>
                </c:pt>
                <c:pt idx="5">
                  <c:v>США</c:v>
                </c:pt>
                <c:pt idx="6">
                  <c:v>Бермуды</c:v>
                </c:pt>
                <c:pt idx="7">
                  <c:v>Великобритания</c:v>
                </c:pt>
                <c:pt idx="8">
                  <c:v>Германия</c:v>
                </c:pt>
                <c:pt idx="9">
                  <c:v>Греция</c:v>
                </c:pt>
              </c:strCache>
            </c:strRef>
          </c:cat>
          <c:val>
            <c:numRef>
              <c:f>'мировой флот'!$C$3:$C$12</c:f>
              <c:numCache>
                <c:formatCode>0.0%</c:formatCode>
                <c:ptCount val="10"/>
                <c:pt idx="0">
                  <c:v>0.192</c:v>
                </c:pt>
                <c:pt idx="1">
                  <c:v>6.3E-2</c:v>
                </c:pt>
                <c:pt idx="2">
                  <c:v>0.154</c:v>
                </c:pt>
                <c:pt idx="3">
                  <c:v>5.6000000000000001E-2</c:v>
                </c:pt>
                <c:pt idx="4">
                  <c:v>0.1</c:v>
                </c:pt>
                <c:pt idx="5">
                  <c:v>7.8E-2</c:v>
                </c:pt>
                <c:pt idx="6">
                  <c:v>1.6E-2</c:v>
                </c:pt>
                <c:pt idx="7">
                  <c:v>0.05</c:v>
                </c:pt>
                <c:pt idx="8">
                  <c:v>0.13</c:v>
                </c:pt>
                <c:pt idx="9">
                  <c:v>0.16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F95-4DE0-A3D1-3B07373915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74795430852833533"/>
          <c:y val="0"/>
          <c:w val="0.25204569147166461"/>
          <c:h val="1"/>
        </c:manualLayout>
      </c:layout>
      <c:overlay val="0"/>
      <c:txPr>
        <a:bodyPr/>
        <a:lstStyle/>
        <a:p>
          <a:pPr rtl="0"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753579853151267"/>
          <c:y val="7.5877225191410658E-2"/>
          <c:w val="0.7699571949479469"/>
          <c:h val="0.8206925916755899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1.6687180314064836E-2"/>
                  <c:y val="2.12853601633129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0A6-4019-85BA-EE0B07597C3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1729506507932242E-2"/>
                  <c:y val="-1.3806503353747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0A6-4019-85BA-EE0B07597C3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3553787858428958E-2"/>
                  <c:y val="0.158285214348206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0A6-4019-85BA-EE0B07597C3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92780808542277E-2"/>
                  <c:y val="1.04399970836978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0A6-4019-85BA-EE0B07597C3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3362177850635565E-2"/>
                  <c:y val="-8.361767279090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0A6-4019-85BA-EE0B07597C3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201203945070006E-2"/>
                  <c:y val="-1.17745698454359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0A6-4019-85BA-EE0B07597C3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7063144410702929E-2"/>
                  <c:y val="2.952755905511811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0A6-4019-85BA-EE0B07597C3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2.1349242607472702E-2"/>
                  <c:y val="1.05916447944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0A6-4019-85BA-EE0B07597C3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2.2298065984072812E-3"/>
                  <c:y val="-0.157915208515602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0A6-4019-85BA-EE0B07597C3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3.1756021964831189E-2"/>
                  <c:y val="-1.7035578885972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0A6-4019-85BA-EE0B07597C3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'мировой флот'!$A$3:$A$12</c:f>
              <c:strCache>
                <c:ptCount val="10"/>
                <c:pt idx="0">
                  <c:v>Китай</c:v>
                </c:pt>
                <c:pt idx="1">
                  <c:v>Южная Корея</c:v>
                </c:pt>
                <c:pt idx="2">
                  <c:v>Япония</c:v>
                </c:pt>
                <c:pt idx="3">
                  <c:v>Гонконг</c:v>
                </c:pt>
                <c:pt idx="4">
                  <c:v>Сингапур</c:v>
                </c:pt>
                <c:pt idx="5">
                  <c:v>США</c:v>
                </c:pt>
                <c:pt idx="6">
                  <c:v>Бермуды</c:v>
                </c:pt>
                <c:pt idx="7">
                  <c:v>Великобритания</c:v>
                </c:pt>
                <c:pt idx="8">
                  <c:v>Германия</c:v>
                </c:pt>
                <c:pt idx="9">
                  <c:v>Греция</c:v>
                </c:pt>
              </c:strCache>
            </c:strRef>
          </c:cat>
          <c:val>
            <c:numRef>
              <c:f>'мировой флот'!$E$3:$E$12</c:f>
              <c:numCache>
                <c:formatCode>0.0%</c:formatCode>
                <c:ptCount val="10"/>
                <c:pt idx="0" formatCode="0%">
                  <c:v>0.13</c:v>
                </c:pt>
                <c:pt idx="1">
                  <c:v>6.5000000000000002E-2</c:v>
                </c:pt>
                <c:pt idx="2">
                  <c:v>0.186</c:v>
                </c:pt>
                <c:pt idx="3">
                  <c:v>7.1999999999999995E-2</c:v>
                </c:pt>
                <c:pt idx="4">
                  <c:v>7.8E-2</c:v>
                </c:pt>
                <c:pt idx="5">
                  <c:v>4.9000000000000002E-2</c:v>
                </c:pt>
                <c:pt idx="6" formatCode="0%">
                  <c:v>0.04</c:v>
                </c:pt>
                <c:pt idx="7" formatCode="0%">
                  <c:v>0.04</c:v>
                </c:pt>
                <c:pt idx="8" formatCode="0%">
                  <c:v>0.1</c:v>
                </c:pt>
                <c:pt idx="9" formatCode="0%">
                  <c:v>0.24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0A6-4019-85BA-EE0B07597C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0.68799</cdr:x>
      <cdr:y>0.81423</cdr:y>
    </cdr:from>
    <cdr:to>
      <cdr:x>0.72923</cdr:x>
      <cdr:y>0.90674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88749" y="1496812"/>
          <a:ext cx="131199" cy="1700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100" dirty="0" smtClean="0"/>
            <a:t>*</a:t>
          </a:r>
          <a:endParaRPr lang="ru-RU" sz="1100" dirty="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0.87094</cdr:x>
      <cdr:y>0.84082</cdr:y>
    </cdr:from>
    <cdr:to>
      <cdr:x>0.91349</cdr:x>
      <cdr:y>0.93333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98360" y="1561724"/>
          <a:ext cx="107402" cy="1718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 dirty="0" smtClean="0"/>
            <a:t>*</a:t>
          </a:r>
          <a:endParaRPr lang="ru-RU" sz="1100" dirty="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0.71015</cdr:x>
      <cdr:y>0.82418</cdr:y>
    </cdr:from>
    <cdr:to>
      <cdr:x>1</cdr:x>
      <cdr:y>0.97253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1866901" y="1428750"/>
          <a:ext cx="761999" cy="257175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r"/>
          <a:r>
            <a:rPr lang="ru-RU" sz="900"/>
            <a:t>2016 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17</cp:revision>
  <dcterms:created xsi:type="dcterms:W3CDTF">2017-11-07T07:52:00Z</dcterms:created>
  <dcterms:modified xsi:type="dcterms:W3CDTF">2017-11-15T10:50:00Z</dcterms:modified>
</cp:coreProperties>
</file>