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382C0" w14:textId="77777777" w:rsidR="00E64A14" w:rsidRPr="00EA7F5A" w:rsidRDefault="00E64A14" w:rsidP="00E64A14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EA7F5A">
        <w:rPr>
          <w:bCs/>
          <w:i/>
          <w:iCs/>
          <w:color w:val="0000FF"/>
          <w:sz w:val="26"/>
          <w:szCs w:val="26"/>
        </w:rPr>
        <w:t>Государственная программа Российской Федерации</w:t>
      </w:r>
      <w:r w:rsidRPr="00EA7F5A">
        <w:rPr>
          <w:bCs/>
          <w:i/>
          <w:iCs/>
          <w:color w:val="0000FF"/>
          <w:sz w:val="26"/>
          <w:szCs w:val="26"/>
        </w:rPr>
        <w:br/>
        <w:t xml:space="preserve"> «Развитие судостроения и техники для освоения </w:t>
      </w:r>
      <w:r w:rsidRPr="00EA7F5A">
        <w:rPr>
          <w:bCs/>
          <w:i/>
          <w:iCs/>
          <w:color w:val="0000FF"/>
          <w:sz w:val="26"/>
          <w:szCs w:val="26"/>
        </w:rPr>
        <w:br/>
        <w:t>шельфовых месторождений на 2013-2030 годы»</w:t>
      </w:r>
    </w:p>
    <w:p w14:paraId="037BF10C" w14:textId="77777777" w:rsidR="00E64A14" w:rsidRDefault="00E64A14" w:rsidP="00E64A14">
      <w:pPr>
        <w:jc w:val="right"/>
        <w:rPr>
          <w:i/>
          <w:color w:val="0000FF"/>
          <w:sz w:val="28"/>
          <w:szCs w:val="28"/>
        </w:rPr>
      </w:pPr>
    </w:p>
    <w:p w14:paraId="44DAFF0C" w14:textId="77777777" w:rsidR="00E64A14" w:rsidRDefault="00E64A14" w:rsidP="00E64A14">
      <w:pPr>
        <w:jc w:val="right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Подпрограмма 1.</w:t>
      </w:r>
    </w:p>
    <w:p w14:paraId="20775736" w14:textId="77777777" w:rsidR="00E64A14" w:rsidRPr="00E64A14" w:rsidRDefault="00E64A14" w:rsidP="00E64A14">
      <w:pPr>
        <w:jc w:val="right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2 направление «Судостроение»</w:t>
      </w:r>
    </w:p>
    <w:p w14:paraId="1D598305" w14:textId="77777777" w:rsidR="00E5314D" w:rsidRPr="00E3177F" w:rsidRDefault="00B239CF" w:rsidP="0060150C">
      <w:pPr>
        <w:keepNext/>
        <w:spacing w:after="60"/>
        <w:ind w:firstLine="425"/>
        <w:jc w:val="both"/>
        <w:outlineLvl w:val="1"/>
        <w:rPr>
          <w:rFonts w:cs="Arial"/>
          <w:b/>
          <w:bCs/>
          <w:i/>
          <w:iCs/>
          <w:sz w:val="28"/>
          <w:szCs w:val="28"/>
          <w:u w:val="single"/>
        </w:rPr>
      </w:pPr>
      <w:r>
        <w:rPr>
          <w:rFonts w:cs="Arial"/>
          <w:b/>
          <w:bCs/>
          <w:i/>
          <w:iCs/>
          <w:sz w:val="28"/>
          <w:szCs w:val="28"/>
          <w:u w:val="single"/>
        </w:rPr>
        <w:t>ОКР</w:t>
      </w:r>
      <w:r w:rsidR="00E5314D" w:rsidRPr="00E3177F">
        <w:rPr>
          <w:rFonts w:cs="Arial"/>
          <w:b/>
          <w:bCs/>
          <w:i/>
          <w:iCs/>
          <w:sz w:val="28"/>
          <w:szCs w:val="28"/>
          <w:u w:val="single"/>
        </w:rPr>
        <w:t xml:space="preserve"> «</w:t>
      </w:r>
      <w:r w:rsidR="00BB2275">
        <w:rPr>
          <w:rFonts w:cs="Arial"/>
          <w:b/>
          <w:bCs/>
          <w:i/>
          <w:iCs/>
          <w:sz w:val="28"/>
          <w:szCs w:val="28"/>
          <w:u w:val="single"/>
        </w:rPr>
        <w:t>Обходчик</w:t>
      </w:r>
      <w:r w:rsidR="00E5314D" w:rsidRPr="00E3177F">
        <w:rPr>
          <w:rFonts w:cs="Arial"/>
          <w:b/>
          <w:bCs/>
          <w:i/>
          <w:iCs/>
          <w:sz w:val="28"/>
          <w:szCs w:val="28"/>
          <w:u w:val="single"/>
        </w:rPr>
        <w:t>»</w:t>
      </w:r>
    </w:p>
    <w:p w14:paraId="0E040679" w14:textId="77777777" w:rsidR="00E5314D" w:rsidRPr="00E617AB" w:rsidRDefault="00E5314D" w:rsidP="0060150C">
      <w:pPr>
        <w:jc w:val="both"/>
        <w:rPr>
          <w:i/>
        </w:rPr>
      </w:pPr>
      <w:r w:rsidRPr="00E617AB">
        <w:rPr>
          <w:i/>
        </w:rPr>
        <w:t>«</w:t>
      </w:r>
      <w:r w:rsidR="00BB2275" w:rsidRPr="00BB2275">
        <w:rPr>
          <w:i/>
        </w:rPr>
        <w:t>Создание экспериментального образца телеуправляемого необитаемого подводного аппарата для комплексного исследования и мониторинга гидротехнических сооружений и прилегающей акватории</w:t>
      </w:r>
      <w:r w:rsidRPr="00E617AB">
        <w:rPr>
          <w:i/>
        </w:rPr>
        <w:t xml:space="preserve">» </w:t>
      </w:r>
    </w:p>
    <w:p w14:paraId="4B791783" w14:textId="77777777" w:rsidR="00E5314D" w:rsidRPr="00E62A0E" w:rsidRDefault="00E5314D" w:rsidP="00E64A14">
      <w:pPr>
        <w:pStyle w:val="2"/>
        <w:spacing w:before="60"/>
        <w:ind w:left="360"/>
        <w:jc w:val="right"/>
        <w:rPr>
          <w:i/>
          <w:color w:val="000000"/>
        </w:rPr>
      </w:pPr>
      <w:r>
        <w:rPr>
          <w:b/>
          <w:i/>
          <w:szCs w:val="24"/>
        </w:rPr>
        <w:t xml:space="preserve">Головной исполнитель – </w:t>
      </w:r>
      <w:r w:rsidR="00BB2275">
        <w:rPr>
          <w:b/>
          <w:i/>
          <w:szCs w:val="24"/>
        </w:rPr>
        <w:t>НИТУ «МИСиС»</w:t>
      </w:r>
    </w:p>
    <w:p w14:paraId="7F87E855" w14:textId="77777777" w:rsidR="00E5314D" w:rsidRDefault="00E5314D" w:rsidP="0060150C">
      <w:pPr>
        <w:spacing w:after="120"/>
        <w:jc w:val="both"/>
        <w:rPr>
          <w:b/>
          <w:sz w:val="26"/>
          <w:szCs w:val="26"/>
          <w:u w:val="single"/>
        </w:rPr>
      </w:pPr>
      <w:r w:rsidRPr="00581B5D">
        <w:rPr>
          <w:b/>
          <w:sz w:val="26"/>
          <w:szCs w:val="26"/>
          <w:u w:val="single"/>
        </w:rPr>
        <w:t>Основные полученные практические результаты.</w:t>
      </w:r>
    </w:p>
    <w:p w14:paraId="1BE90CBA" w14:textId="77777777" w:rsidR="00F9211C" w:rsidRPr="00F9211C" w:rsidRDefault="00F9211C" w:rsidP="0060150C">
      <w:pPr>
        <w:pStyle w:val="a5"/>
        <w:numPr>
          <w:ilvl w:val="0"/>
          <w:numId w:val="4"/>
        </w:numPr>
        <w:jc w:val="both"/>
      </w:pPr>
      <w:r w:rsidRPr="00F9211C">
        <w:t xml:space="preserve">Разработаны эскизный и технический проект, </w:t>
      </w:r>
      <w:r w:rsidR="004B27BE">
        <w:t>рабочая конструкторская документация</w:t>
      </w:r>
      <w:r w:rsidRPr="00F9211C">
        <w:t xml:space="preserve"> на ТНПА с блоком управления и индикации, универсальным стыковочным узлом, защитным экраном-обтекателем</w:t>
      </w:r>
    </w:p>
    <w:p w14:paraId="5699FB2F" w14:textId="77777777" w:rsidR="00F9211C" w:rsidRPr="00F9211C" w:rsidRDefault="00F9211C" w:rsidP="0060150C">
      <w:pPr>
        <w:pStyle w:val="a5"/>
        <w:numPr>
          <w:ilvl w:val="0"/>
          <w:numId w:val="4"/>
        </w:numPr>
        <w:jc w:val="both"/>
      </w:pPr>
      <w:r w:rsidRPr="00F9211C">
        <w:t xml:space="preserve">Разработаны эскизный и технический проект, </w:t>
      </w:r>
      <w:r w:rsidR="004B27BE">
        <w:t>рабочая конструкторская документация</w:t>
      </w:r>
      <w:r w:rsidR="004B27BE" w:rsidRPr="00F9211C">
        <w:t xml:space="preserve"> </w:t>
      </w:r>
      <w:r w:rsidRPr="00F9211C">
        <w:t>на 3D-звуковизор для ТНПА</w:t>
      </w:r>
    </w:p>
    <w:p w14:paraId="6C461C14" w14:textId="77777777" w:rsidR="00F9211C" w:rsidRPr="00F9211C" w:rsidRDefault="00EB3996" w:rsidP="0060150C">
      <w:pPr>
        <w:pStyle w:val="a5"/>
        <w:numPr>
          <w:ilvl w:val="0"/>
          <w:numId w:val="4"/>
        </w:numPr>
        <w:jc w:val="both"/>
      </w:pPr>
      <w:r>
        <w:t>Разработано специализированное программное обеспечение р</w:t>
      </w:r>
      <w:r w:rsidR="00F9211C" w:rsidRPr="00F9211C">
        <w:t>еализации математической и имитационной моделей</w:t>
      </w:r>
      <w:r>
        <w:t xml:space="preserve"> ТНПА, оснащённого </w:t>
      </w:r>
      <w:r w:rsidRPr="00EB3996">
        <w:t>3</w:t>
      </w:r>
      <w:r>
        <w:rPr>
          <w:lang w:val="en-US"/>
        </w:rPr>
        <w:t>D</w:t>
      </w:r>
      <w:r w:rsidRPr="00EB3996">
        <w:t>-</w:t>
      </w:r>
      <w:r>
        <w:t>звуковизором, экраном-обтекателем, другим дополнительным оборудованием</w:t>
      </w:r>
    </w:p>
    <w:p w14:paraId="58B01B95" w14:textId="77777777" w:rsidR="00F9211C" w:rsidRPr="00F9211C" w:rsidRDefault="00F9211C" w:rsidP="0060150C">
      <w:pPr>
        <w:pStyle w:val="a5"/>
        <w:numPr>
          <w:ilvl w:val="0"/>
          <w:numId w:val="4"/>
        </w:numPr>
        <w:jc w:val="both"/>
      </w:pPr>
      <w:r w:rsidRPr="00F9211C">
        <w:t xml:space="preserve">Выполнено математическое моделирование алгоритмов и режимов работы электронных макетов ТНПА с </w:t>
      </w:r>
      <w:r w:rsidR="00EB3996" w:rsidRPr="00EB3996">
        <w:t>3</w:t>
      </w:r>
      <w:r w:rsidR="00EB3996" w:rsidRPr="00EB3996">
        <w:rPr>
          <w:lang w:val="en-US"/>
        </w:rPr>
        <w:t>D</w:t>
      </w:r>
      <w:r w:rsidR="00EB3996" w:rsidRPr="00EB3996">
        <w:t>-</w:t>
      </w:r>
      <w:r w:rsidR="00EB3996">
        <w:t>звуковизором, экраном-обтекателем, другим дополнительным оборудованием</w:t>
      </w:r>
    </w:p>
    <w:p w14:paraId="771F07C1" w14:textId="77777777" w:rsidR="00F9211C" w:rsidRPr="00F9211C" w:rsidRDefault="00F9211C" w:rsidP="0060150C">
      <w:pPr>
        <w:pStyle w:val="a5"/>
        <w:numPr>
          <w:ilvl w:val="0"/>
          <w:numId w:val="4"/>
        </w:numPr>
        <w:jc w:val="both"/>
      </w:pPr>
      <w:r w:rsidRPr="00F9211C">
        <w:t>Разработ</w:t>
      </w:r>
      <w:r w:rsidR="00EB3996">
        <w:t>ано</w:t>
      </w:r>
      <w:r w:rsidRPr="00F9211C">
        <w:t xml:space="preserve"> </w:t>
      </w:r>
      <w:r w:rsidR="00EB3996">
        <w:t>программное обеспечение</w:t>
      </w:r>
      <w:r w:rsidRPr="00F9211C">
        <w:t xml:space="preserve"> блок</w:t>
      </w:r>
      <w:r w:rsidR="00EB3996">
        <w:t>а управления и индикации ТНПА</w:t>
      </w:r>
    </w:p>
    <w:p w14:paraId="7C797524" w14:textId="77777777" w:rsidR="00F9211C" w:rsidRPr="00F9211C" w:rsidRDefault="00EB3996" w:rsidP="0060150C">
      <w:pPr>
        <w:pStyle w:val="a5"/>
        <w:numPr>
          <w:ilvl w:val="0"/>
          <w:numId w:val="4"/>
        </w:numPr>
        <w:jc w:val="both"/>
      </w:pPr>
      <w:r w:rsidRPr="00F9211C">
        <w:t>Разработ</w:t>
      </w:r>
      <w:r>
        <w:t>ано</w:t>
      </w:r>
      <w:r w:rsidRPr="00F9211C">
        <w:t xml:space="preserve"> </w:t>
      </w:r>
      <w:r>
        <w:t>программное обеспечение</w:t>
      </w:r>
      <w:r w:rsidR="00F9211C" w:rsidRPr="00F9211C">
        <w:t xml:space="preserve"> для сбора, обработки, визуализации данных 3D</w:t>
      </w:r>
      <w:r>
        <w:noBreakHyphen/>
      </w:r>
      <w:r w:rsidR="00F9211C" w:rsidRPr="00F9211C">
        <w:t>звуковизора</w:t>
      </w:r>
    </w:p>
    <w:p w14:paraId="5A8FD3FF" w14:textId="77777777" w:rsidR="00EB3996" w:rsidRDefault="00F9211C" w:rsidP="0060150C">
      <w:pPr>
        <w:pStyle w:val="a5"/>
        <w:numPr>
          <w:ilvl w:val="0"/>
          <w:numId w:val="4"/>
        </w:numPr>
        <w:jc w:val="both"/>
      </w:pPr>
      <w:r w:rsidRPr="0067263F">
        <w:t>Изготовлен экспериментальный образец ТНПА с блоком управления и индикации и универсальным стыковочным узлом, экраном обтекателем</w:t>
      </w:r>
      <w:r w:rsidR="0067263F">
        <w:t>, 3</w:t>
      </w:r>
      <w:r w:rsidR="0067263F" w:rsidRPr="00EB3996">
        <w:rPr>
          <w:lang w:val="en-US"/>
        </w:rPr>
        <w:t>D</w:t>
      </w:r>
      <w:r w:rsidR="0067263F">
        <w:t>-</w:t>
      </w:r>
      <w:proofErr w:type="spellStart"/>
      <w:r w:rsidR="0067263F">
        <w:t>звуковизором</w:t>
      </w:r>
      <w:proofErr w:type="spellEnd"/>
    </w:p>
    <w:p w14:paraId="09C454C2" w14:textId="77777777" w:rsidR="00082F41" w:rsidRDefault="00082F41" w:rsidP="00082F41">
      <w:pPr>
        <w:pStyle w:val="a5"/>
        <w:jc w:val="both"/>
      </w:pPr>
    </w:p>
    <w:p w14:paraId="5AC4C975" w14:textId="77777777" w:rsidR="0060150C" w:rsidRDefault="0060150C" w:rsidP="0060150C">
      <w:pPr>
        <w:pStyle w:val="a5"/>
        <w:jc w:val="both"/>
      </w:pPr>
      <w:r w:rsidRPr="0067263F">
        <w:rPr>
          <w:noProof/>
        </w:rPr>
        <w:drawing>
          <wp:inline distT="0" distB="0" distL="0" distR="0" wp14:anchorId="71DD5508" wp14:editId="53141AB4">
            <wp:extent cx="5732443" cy="3055620"/>
            <wp:effectExtent l="0" t="0" r="1905" b="0"/>
            <wp:docPr id="1" name="Рисунок 1" descr="C:\Users\Дмитрий Лушников\AppData\Local\Microsoft\Windows\INetCache\Content.Word\ТНП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митрий Лушников\AppData\Local\Microsoft\Windows\INetCache\Content.Word\ТНПА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447" cy="305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175F4" w14:textId="6C84921F" w:rsidR="0060150C" w:rsidRDefault="0060150C" w:rsidP="0060150C">
      <w:pPr>
        <w:pStyle w:val="a5"/>
        <w:jc w:val="center"/>
      </w:pPr>
      <w:r>
        <w:t>Рис</w:t>
      </w:r>
      <w:r w:rsidR="008F17EB">
        <w:t>унок</w:t>
      </w:r>
      <w:proofErr w:type="gramStart"/>
      <w:r>
        <w:t>1</w:t>
      </w:r>
      <w:proofErr w:type="gramEnd"/>
      <w:r>
        <w:t xml:space="preserve"> - ТНПА – носитель</w:t>
      </w:r>
      <w:r w:rsidR="007A0BE5">
        <w:t xml:space="preserve"> (слева внизу – бухта кабеля с коммуникационным блоком, по центру – пульт управления оператором, слева – блок питания)</w:t>
      </w:r>
    </w:p>
    <w:p w14:paraId="4BF446F4" w14:textId="571BA5C4" w:rsidR="00082F41" w:rsidRDefault="00082F41">
      <w:pPr>
        <w:spacing w:after="200" w:line="276" w:lineRule="auto"/>
      </w:pPr>
      <w:r>
        <w:br w:type="page"/>
      </w:r>
    </w:p>
    <w:p w14:paraId="7DC6F36B" w14:textId="77777777" w:rsidR="0060150C" w:rsidRPr="0060150C" w:rsidRDefault="0060150C" w:rsidP="0060150C">
      <w:r w:rsidRPr="0060150C">
        <w:lastRenderedPageBreak/>
        <w:t>Технические характеристики:</w:t>
      </w:r>
    </w:p>
    <w:tbl>
      <w:tblPr>
        <w:tblW w:w="3845" w:type="pct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4537"/>
      </w:tblGrid>
      <w:tr w:rsidR="0060150C" w:rsidRPr="0060150C" w14:paraId="6B02227E" w14:textId="77777777" w:rsidTr="00082F41">
        <w:tc>
          <w:tcPr>
            <w:tcW w:w="2090" w:type="pct"/>
            <w:shd w:val="clear" w:color="auto" w:fill="auto"/>
          </w:tcPr>
          <w:p w14:paraId="547551A5" w14:textId="77777777" w:rsidR="0060150C" w:rsidRPr="0060150C" w:rsidRDefault="0060150C" w:rsidP="00082F41">
            <w:pPr>
              <w:jc w:val="center"/>
              <w:rPr>
                <w:b/>
              </w:rPr>
            </w:pPr>
            <w:r w:rsidRPr="0060150C">
              <w:rPr>
                <w:b/>
              </w:rPr>
              <w:t>Характеристика</w:t>
            </w:r>
          </w:p>
        </w:tc>
        <w:tc>
          <w:tcPr>
            <w:tcW w:w="2910" w:type="pct"/>
            <w:shd w:val="clear" w:color="auto" w:fill="auto"/>
          </w:tcPr>
          <w:p w14:paraId="33CA17DC" w14:textId="2281FFED" w:rsidR="0060150C" w:rsidRPr="0060150C" w:rsidRDefault="00082F41" w:rsidP="00082F41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="0060150C" w:rsidRPr="0060150C">
              <w:rPr>
                <w:b/>
              </w:rPr>
              <w:t>начение</w:t>
            </w:r>
          </w:p>
        </w:tc>
      </w:tr>
      <w:tr w:rsidR="0060150C" w:rsidRPr="0060150C" w14:paraId="65156780" w14:textId="77777777" w:rsidTr="00082F41">
        <w:tc>
          <w:tcPr>
            <w:tcW w:w="2090" w:type="pct"/>
            <w:shd w:val="clear" w:color="auto" w:fill="auto"/>
          </w:tcPr>
          <w:p w14:paraId="4BF2383B" w14:textId="77777777" w:rsidR="0060150C" w:rsidRPr="0060150C" w:rsidRDefault="0060150C" w:rsidP="0060150C">
            <w:r w:rsidRPr="0060150C">
              <w:t>Глубина погружения</w:t>
            </w:r>
          </w:p>
        </w:tc>
        <w:tc>
          <w:tcPr>
            <w:tcW w:w="2910" w:type="pct"/>
            <w:shd w:val="clear" w:color="auto" w:fill="auto"/>
          </w:tcPr>
          <w:p w14:paraId="2663FE09" w14:textId="77777777" w:rsidR="0060150C" w:rsidRPr="0060150C" w:rsidRDefault="0060150C" w:rsidP="0060150C">
            <w:r w:rsidRPr="0060150C">
              <w:t>До 500 м</w:t>
            </w:r>
          </w:p>
        </w:tc>
      </w:tr>
      <w:tr w:rsidR="0060150C" w:rsidRPr="0060150C" w14:paraId="313CD980" w14:textId="77777777" w:rsidTr="00082F41">
        <w:tc>
          <w:tcPr>
            <w:tcW w:w="2090" w:type="pct"/>
            <w:shd w:val="clear" w:color="auto" w:fill="auto"/>
          </w:tcPr>
          <w:p w14:paraId="0130773D" w14:textId="77777777" w:rsidR="0060150C" w:rsidRPr="0060150C" w:rsidRDefault="0060150C" w:rsidP="0060150C">
            <w:r w:rsidRPr="0060150C">
              <w:t>Вес на воздухе</w:t>
            </w:r>
          </w:p>
        </w:tc>
        <w:tc>
          <w:tcPr>
            <w:tcW w:w="2910" w:type="pct"/>
            <w:shd w:val="clear" w:color="auto" w:fill="auto"/>
          </w:tcPr>
          <w:p w14:paraId="3B5B1B8E" w14:textId="77777777" w:rsidR="0060150C" w:rsidRPr="0060150C" w:rsidRDefault="0060150C" w:rsidP="0060150C">
            <w:r w:rsidRPr="0060150C">
              <w:t>92 кг</w:t>
            </w:r>
          </w:p>
        </w:tc>
      </w:tr>
      <w:tr w:rsidR="0060150C" w:rsidRPr="0060150C" w14:paraId="24E780F5" w14:textId="77777777" w:rsidTr="00082F41">
        <w:tc>
          <w:tcPr>
            <w:tcW w:w="2090" w:type="pct"/>
            <w:shd w:val="clear" w:color="auto" w:fill="auto"/>
          </w:tcPr>
          <w:p w14:paraId="0670CA50" w14:textId="77777777" w:rsidR="0060150C" w:rsidRPr="0060150C" w:rsidRDefault="0060150C" w:rsidP="0060150C">
            <w:r w:rsidRPr="0060150C">
              <w:t>Скорость</w:t>
            </w:r>
          </w:p>
        </w:tc>
        <w:tc>
          <w:tcPr>
            <w:tcW w:w="2910" w:type="pct"/>
            <w:shd w:val="clear" w:color="auto" w:fill="auto"/>
          </w:tcPr>
          <w:p w14:paraId="300E0521" w14:textId="77777777" w:rsidR="0060150C" w:rsidRPr="0060150C" w:rsidRDefault="0060150C" w:rsidP="0060150C">
            <w:r w:rsidRPr="0060150C">
              <w:t>До 6 узлов</w:t>
            </w:r>
          </w:p>
        </w:tc>
      </w:tr>
      <w:tr w:rsidR="0060150C" w:rsidRPr="0060150C" w14:paraId="6910604F" w14:textId="77777777" w:rsidTr="00082F41">
        <w:tc>
          <w:tcPr>
            <w:tcW w:w="2090" w:type="pct"/>
            <w:shd w:val="clear" w:color="auto" w:fill="auto"/>
          </w:tcPr>
          <w:p w14:paraId="604AF2CC" w14:textId="77777777" w:rsidR="0060150C" w:rsidRPr="0060150C" w:rsidRDefault="0060150C" w:rsidP="0060150C">
            <w:r w:rsidRPr="0060150C">
              <w:t>Длина кабеля</w:t>
            </w:r>
          </w:p>
        </w:tc>
        <w:tc>
          <w:tcPr>
            <w:tcW w:w="2910" w:type="pct"/>
            <w:shd w:val="clear" w:color="auto" w:fill="auto"/>
          </w:tcPr>
          <w:p w14:paraId="36515400" w14:textId="77777777" w:rsidR="0060150C" w:rsidRPr="0060150C" w:rsidRDefault="0060150C" w:rsidP="0060150C">
            <w:r w:rsidRPr="0060150C">
              <w:t>До 1500 м</w:t>
            </w:r>
          </w:p>
        </w:tc>
      </w:tr>
      <w:tr w:rsidR="0060150C" w:rsidRPr="0060150C" w14:paraId="05DA5F7F" w14:textId="77777777" w:rsidTr="00082F41">
        <w:tc>
          <w:tcPr>
            <w:tcW w:w="2090" w:type="pct"/>
            <w:shd w:val="clear" w:color="auto" w:fill="auto"/>
          </w:tcPr>
          <w:p w14:paraId="344BAE83" w14:textId="77777777" w:rsidR="0060150C" w:rsidRPr="0060150C" w:rsidRDefault="0060150C" w:rsidP="0060150C">
            <w:r w:rsidRPr="0060150C">
              <w:t>Тип кабеля</w:t>
            </w:r>
          </w:p>
        </w:tc>
        <w:tc>
          <w:tcPr>
            <w:tcW w:w="2910" w:type="pct"/>
            <w:shd w:val="clear" w:color="auto" w:fill="auto"/>
          </w:tcPr>
          <w:p w14:paraId="56729C13" w14:textId="77777777" w:rsidR="0060150C" w:rsidRPr="0060150C" w:rsidRDefault="0060150C" w:rsidP="0060150C">
            <w:r w:rsidRPr="0060150C">
              <w:t>оптоволоконный, токопроводящий, грузонесущий с кевларовой оболочкой</w:t>
            </w:r>
          </w:p>
        </w:tc>
      </w:tr>
      <w:tr w:rsidR="0060150C" w:rsidRPr="0060150C" w14:paraId="2D0AA757" w14:textId="77777777" w:rsidTr="00082F41">
        <w:tc>
          <w:tcPr>
            <w:tcW w:w="2090" w:type="pct"/>
            <w:shd w:val="clear" w:color="auto" w:fill="auto"/>
          </w:tcPr>
          <w:p w14:paraId="258E2F67" w14:textId="77777777" w:rsidR="0060150C" w:rsidRPr="0060150C" w:rsidRDefault="0060150C" w:rsidP="0060150C">
            <w:r w:rsidRPr="0060150C">
              <w:t>Температура эксплуатации</w:t>
            </w:r>
          </w:p>
        </w:tc>
        <w:tc>
          <w:tcPr>
            <w:tcW w:w="2910" w:type="pct"/>
            <w:shd w:val="clear" w:color="auto" w:fill="auto"/>
          </w:tcPr>
          <w:p w14:paraId="5ABD58F5" w14:textId="77777777" w:rsidR="0060150C" w:rsidRPr="0060150C" w:rsidRDefault="0060150C" w:rsidP="0060150C">
            <w:r w:rsidRPr="0060150C">
              <w:t>От -4°С до +35°С</w:t>
            </w:r>
          </w:p>
        </w:tc>
      </w:tr>
    </w:tbl>
    <w:p w14:paraId="1D3BCFF8" w14:textId="77777777" w:rsidR="0060150C" w:rsidRPr="004B27BE" w:rsidRDefault="0060150C" w:rsidP="00082F41">
      <w:pPr>
        <w:spacing w:before="120"/>
        <w:jc w:val="both"/>
      </w:pPr>
      <w:r w:rsidRPr="004B27BE">
        <w:t>Функциональное назначение ТНПА «Обходчик»:</w:t>
      </w:r>
    </w:p>
    <w:p w14:paraId="1AA62A59" w14:textId="77777777" w:rsidR="0060150C" w:rsidRPr="004B27BE" w:rsidRDefault="0060150C" w:rsidP="0060150C">
      <w:pPr>
        <w:pStyle w:val="a5"/>
        <w:numPr>
          <w:ilvl w:val="0"/>
          <w:numId w:val="9"/>
        </w:numPr>
        <w:jc w:val="both"/>
      </w:pPr>
      <w:r w:rsidRPr="004B27BE">
        <w:t>Доставка используемого при подводных работах оборудования к месту работы на глубины до 500 м;</w:t>
      </w:r>
    </w:p>
    <w:p w14:paraId="73B35638" w14:textId="77777777" w:rsidR="0060150C" w:rsidRPr="004B27BE" w:rsidRDefault="0060150C" w:rsidP="0060150C">
      <w:pPr>
        <w:pStyle w:val="a5"/>
        <w:numPr>
          <w:ilvl w:val="0"/>
          <w:numId w:val="9"/>
        </w:numPr>
        <w:jc w:val="both"/>
      </w:pPr>
      <w:r w:rsidRPr="004B27BE">
        <w:t>Обеспечение работы 3D-звуковизора, разрабатываемого в рамках ОКР «Обходчик»;</w:t>
      </w:r>
    </w:p>
    <w:p w14:paraId="41FFA3E5" w14:textId="77777777" w:rsidR="0060150C" w:rsidRPr="004B27BE" w:rsidRDefault="0060150C" w:rsidP="0060150C">
      <w:pPr>
        <w:pStyle w:val="a5"/>
        <w:numPr>
          <w:ilvl w:val="0"/>
          <w:numId w:val="9"/>
        </w:numPr>
        <w:jc w:val="both"/>
      </w:pPr>
      <w:r w:rsidRPr="004B27BE">
        <w:t>Обеспечение используемого при работах оборудования электропитанием и интерфейсом взаимодействия с ТНПА по протоколам:</w:t>
      </w:r>
    </w:p>
    <w:p w14:paraId="073F6448" w14:textId="77777777" w:rsidR="0060150C" w:rsidRPr="004B27BE" w:rsidRDefault="0060150C" w:rsidP="0060150C">
      <w:pPr>
        <w:pStyle w:val="a5"/>
        <w:numPr>
          <w:ilvl w:val="1"/>
          <w:numId w:val="9"/>
        </w:numPr>
        <w:jc w:val="both"/>
      </w:pPr>
      <w:proofErr w:type="spellStart"/>
      <w:r w:rsidRPr="004B27BE">
        <w:t>Gigabit</w:t>
      </w:r>
      <w:proofErr w:type="spellEnd"/>
      <w:r w:rsidRPr="004B27BE">
        <w:t xml:space="preserve"> </w:t>
      </w:r>
      <w:proofErr w:type="spellStart"/>
      <w:r w:rsidRPr="004B27BE">
        <w:t>Ethernet</w:t>
      </w:r>
      <w:proofErr w:type="spellEnd"/>
      <w:r w:rsidRPr="004B27BE">
        <w:t xml:space="preserve"> (1 Гбит/с);</w:t>
      </w:r>
    </w:p>
    <w:p w14:paraId="25F6DAB3" w14:textId="77777777" w:rsidR="0060150C" w:rsidRPr="004B27BE" w:rsidRDefault="0060150C" w:rsidP="0060150C">
      <w:pPr>
        <w:pStyle w:val="a5"/>
        <w:numPr>
          <w:ilvl w:val="1"/>
          <w:numId w:val="9"/>
        </w:numPr>
        <w:jc w:val="both"/>
      </w:pPr>
      <w:proofErr w:type="spellStart"/>
      <w:r w:rsidRPr="004B27BE">
        <w:t>Fast</w:t>
      </w:r>
      <w:proofErr w:type="spellEnd"/>
      <w:r w:rsidRPr="004B27BE">
        <w:t xml:space="preserve"> </w:t>
      </w:r>
      <w:proofErr w:type="spellStart"/>
      <w:r w:rsidRPr="004B27BE">
        <w:t>Ethernet</w:t>
      </w:r>
      <w:proofErr w:type="spellEnd"/>
      <w:r w:rsidRPr="004B27BE">
        <w:t xml:space="preserve"> (100 Мбит/с);</w:t>
      </w:r>
    </w:p>
    <w:p w14:paraId="0A30D5E1" w14:textId="77777777" w:rsidR="0060150C" w:rsidRPr="004B27BE" w:rsidRDefault="0060150C" w:rsidP="0060150C">
      <w:pPr>
        <w:pStyle w:val="a5"/>
        <w:numPr>
          <w:ilvl w:val="1"/>
          <w:numId w:val="9"/>
        </w:numPr>
        <w:jc w:val="both"/>
      </w:pPr>
      <w:r w:rsidRPr="004B27BE">
        <w:t>RS-232;</w:t>
      </w:r>
    </w:p>
    <w:p w14:paraId="0E89CBD8" w14:textId="77777777" w:rsidR="0060150C" w:rsidRPr="004B27BE" w:rsidRDefault="0060150C" w:rsidP="0060150C">
      <w:pPr>
        <w:pStyle w:val="a5"/>
        <w:numPr>
          <w:ilvl w:val="1"/>
          <w:numId w:val="9"/>
        </w:numPr>
        <w:jc w:val="both"/>
      </w:pPr>
      <w:r w:rsidRPr="004B27BE">
        <w:t>RS-485;</w:t>
      </w:r>
    </w:p>
    <w:p w14:paraId="575DCC4C" w14:textId="77777777" w:rsidR="0060150C" w:rsidRDefault="0060150C" w:rsidP="00082F41">
      <w:pPr>
        <w:pStyle w:val="a5"/>
        <w:numPr>
          <w:ilvl w:val="0"/>
          <w:numId w:val="9"/>
        </w:numPr>
        <w:spacing w:after="120"/>
        <w:ind w:left="714" w:hanging="357"/>
        <w:jc w:val="both"/>
      </w:pPr>
      <w:r w:rsidRPr="004B27BE">
        <w:t>Обеспечение управлением ТНПА и дополнительным оборудованием с борта обеспечивающего судна/пирса одним или несколькими операторами.</w:t>
      </w:r>
    </w:p>
    <w:p w14:paraId="1B1AD80D" w14:textId="77777777" w:rsidR="00082F41" w:rsidRPr="004B27BE" w:rsidRDefault="00082F41" w:rsidP="00082F41">
      <w:pPr>
        <w:pStyle w:val="a5"/>
        <w:spacing w:after="120"/>
        <w:ind w:left="714"/>
        <w:jc w:val="both"/>
      </w:pPr>
    </w:p>
    <w:p w14:paraId="1B409FAA" w14:textId="77777777" w:rsidR="0060150C" w:rsidRDefault="0060150C" w:rsidP="0060150C">
      <w:pPr>
        <w:pStyle w:val="a5"/>
        <w:jc w:val="center"/>
      </w:pPr>
      <w:bookmarkStart w:id="0" w:name="_GoBack"/>
      <w:r>
        <w:rPr>
          <w:noProof/>
        </w:rPr>
        <w:drawing>
          <wp:inline distT="0" distB="0" distL="0" distR="0" wp14:anchorId="45513C8A" wp14:editId="3647D111">
            <wp:extent cx="4171950" cy="2368728"/>
            <wp:effectExtent l="0" t="0" r="0" b="0"/>
            <wp:docPr id="48" name="Рисунок 48" descr="C:\Users\Дмитрий Лушников\AppData\Local\Microsoft\Windows\INetCache\Content.Word\3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Дмитрий Лушников\AppData\Local\Microsoft\Windows\INetCache\Content.Word\3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748" cy="237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939F3C2" w14:textId="7B1ADE59" w:rsidR="0060150C" w:rsidRDefault="0060150C" w:rsidP="0060150C">
      <w:pPr>
        <w:jc w:val="center"/>
      </w:pPr>
      <w:r>
        <w:t>Рис</w:t>
      </w:r>
      <w:r w:rsidR="008F17EB">
        <w:t xml:space="preserve">унок </w:t>
      </w:r>
      <w:r>
        <w:t>2 - 3</w:t>
      </w:r>
      <w:r>
        <w:rPr>
          <w:lang w:val="en-US"/>
        </w:rPr>
        <w:t>D-</w:t>
      </w:r>
      <w:r>
        <w:t>звуковизор</w:t>
      </w:r>
    </w:p>
    <w:p w14:paraId="5F491964" w14:textId="77777777" w:rsidR="00EB3996" w:rsidRDefault="00EB3996" w:rsidP="0060150C">
      <w:pPr>
        <w:jc w:val="both"/>
      </w:pPr>
    </w:p>
    <w:p w14:paraId="125FE8D9" w14:textId="77777777" w:rsidR="00EB3996" w:rsidRDefault="00EB3996" w:rsidP="0060150C">
      <w:pPr>
        <w:pStyle w:val="a5"/>
        <w:numPr>
          <w:ilvl w:val="0"/>
          <w:numId w:val="5"/>
        </w:numPr>
        <w:jc w:val="both"/>
      </w:pPr>
      <w:r>
        <w:t xml:space="preserve">Проведены стендовые, бассейновые, натурные испытания ТНПА, оснащённого </w:t>
      </w:r>
      <w:r w:rsidRPr="00EB3996">
        <w:t>3</w:t>
      </w:r>
      <w:r w:rsidRPr="00EB3996">
        <w:rPr>
          <w:lang w:val="en-US"/>
        </w:rPr>
        <w:t>D</w:t>
      </w:r>
      <w:r w:rsidR="0060150C" w:rsidRPr="0060150C">
        <w:noBreakHyphen/>
      </w:r>
      <w:r>
        <w:t>звуковизором, другим дополнительным оборудованием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EB3996" w14:paraId="13F9B528" w14:textId="77777777" w:rsidTr="0060150C">
        <w:tc>
          <w:tcPr>
            <w:tcW w:w="10138" w:type="dxa"/>
          </w:tcPr>
          <w:p w14:paraId="0474864E" w14:textId="77777777" w:rsidR="00EB3996" w:rsidRDefault="00EB3996" w:rsidP="0060150C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DD7BE2" wp14:editId="03E6563C">
                  <wp:extent cx="3322320" cy="1882140"/>
                  <wp:effectExtent l="0" t="0" r="0" b="3810"/>
                  <wp:docPr id="2" name="Рисунок 2" descr="C:\Users\Дмитрий Лушников\AppData\Local\Microsoft\Windows\INetCache\Content.Word\ТНП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Дмитрий Лушников\AppData\Local\Microsoft\Windows\INetCache\Content.Word\ТНП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32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686FA10" wp14:editId="73340F7A">
                  <wp:extent cx="2827020" cy="1577340"/>
                  <wp:effectExtent l="0" t="0" r="0" b="3810"/>
                  <wp:docPr id="3" name="Рисунок 3" descr="C:\Users\Дмитрий Лушников\AppData\Local\Microsoft\Windows\INetCache\Content.Word\ТНПА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Дмитрий Лушников\AppData\Local\Microsoft\Windows\INetCache\Content.Word\ТНПА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2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511E07" w14:textId="42E4FE81" w:rsidR="00EB3996" w:rsidRDefault="0060150C" w:rsidP="008F17EB">
            <w:pPr>
              <w:jc w:val="center"/>
            </w:pPr>
            <w:r>
              <w:rPr>
                <w:noProof/>
              </w:rPr>
              <w:t>Рис</w:t>
            </w:r>
            <w:r w:rsidR="008F17EB">
              <w:rPr>
                <w:noProof/>
              </w:rPr>
              <w:t xml:space="preserve">унок </w:t>
            </w:r>
            <w:r>
              <w:rPr>
                <w:noProof/>
              </w:rPr>
              <w:t xml:space="preserve">3 - </w:t>
            </w:r>
            <w:r w:rsidR="00EB3996">
              <w:rPr>
                <w:noProof/>
              </w:rPr>
              <w:t>Натурные испытания ТНПА, оснащённого</w:t>
            </w:r>
            <w:r>
              <w:rPr>
                <w:noProof/>
              </w:rPr>
              <w:t xml:space="preserve"> универсальным стыковочным блоком</w:t>
            </w:r>
            <w:r w:rsidR="00EB3996">
              <w:rPr>
                <w:noProof/>
              </w:rPr>
              <w:t>, 3</w:t>
            </w:r>
            <w:r w:rsidR="00EB3996">
              <w:rPr>
                <w:noProof/>
                <w:lang w:val="en-US"/>
              </w:rPr>
              <w:t>D</w:t>
            </w:r>
            <w:r w:rsidR="00EB3996" w:rsidRPr="00EB3996">
              <w:rPr>
                <w:noProof/>
              </w:rPr>
              <w:t>-</w:t>
            </w:r>
            <w:r w:rsidR="00EB3996">
              <w:rPr>
                <w:noProof/>
              </w:rPr>
              <w:t>звуковизором, системой обнаружения взрывчатых веществ, гамма-спектрометром, системой позиционирования, другим оборудованием</w:t>
            </w:r>
          </w:p>
        </w:tc>
      </w:tr>
    </w:tbl>
    <w:p w14:paraId="4EB425B7" w14:textId="77777777" w:rsidR="0067263F" w:rsidRPr="004B27BE" w:rsidRDefault="004B27BE" w:rsidP="0060150C">
      <w:pPr>
        <w:pStyle w:val="a5"/>
        <w:numPr>
          <w:ilvl w:val="0"/>
          <w:numId w:val="5"/>
        </w:numPr>
        <w:jc w:val="both"/>
      </w:pPr>
      <w:r w:rsidRPr="004B27BE">
        <w:lastRenderedPageBreak/>
        <w:t xml:space="preserve">Разработано </w:t>
      </w:r>
      <w:proofErr w:type="gramStart"/>
      <w:r w:rsidRPr="004B27BE">
        <w:t>технико-экономическое</w:t>
      </w:r>
      <w:proofErr w:type="gramEnd"/>
      <w:r w:rsidRPr="004B27BE">
        <w:t xml:space="preserve"> обоснования этапов жизненного цикла ТНПА</w:t>
      </w:r>
    </w:p>
    <w:p w14:paraId="7017AABB" w14:textId="77777777" w:rsidR="004B27BE" w:rsidRPr="004B27BE" w:rsidRDefault="004B27BE" w:rsidP="0060150C">
      <w:pPr>
        <w:pStyle w:val="a5"/>
        <w:numPr>
          <w:ilvl w:val="0"/>
          <w:numId w:val="5"/>
        </w:numPr>
        <w:jc w:val="both"/>
      </w:pPr>
      <w:r w:rsidRPr="004B27BE">
        <w:t xml:space="preserve">Разработана эксплуатационная документация на ТНПА, оснащённого экраном-обтекателем, </w:t>
      </w:r>
      <w:r>
        <w:t>блоком управления и индикации</w:t>
      </w:r>
    </w:p>
    <w:p w14:paraId="56FDAC30" w14:textId="77777777" w:rsidR="004B27BE" w:rsidRDefault="004B27BE" w:rsidP="0060150C">
      <w:pPr>
        <w:pStyle w:val="a5"/>
        <w:numPr>
          <w:ilvl w:val="0"/>
          <w:numId w:val="5"/>
        </w:numPr>
        <w:jc w:val="both"/>
      </w:pPr>
      <w:r w:rsidRPr="004B27BE">
        <w:t>Разработана эксплуатационная документация на 3D-звуковизор в составе ТНПА</w:t>
      </w:r>
    </w:p>
    <w:p w14:paraId="5CC388C6" w14:textId="77777777" w:rsidR="004B27BE" w:rsidRPr="004B27BE" w:rsidRDefault="004B27BE" w:rsidP="0060150C">
      <w:pPr>
        <w:pStyle w:val="a5"/>
        <w:numPr>
          <w:ilvl w:val="0"/>
          <w:numId w:val="5"/>
        </w:numPr>
        <w:jc w:val="both"/>
      </w:pPr>
      <w:r w:rsidRPr="004B27BE">
        <w:t>Разработ</w:t>
      </w:r>
      <w:r>
        <w:t>аны предложения</w:t>
      </w:r>
      <w:r w:rsidRPr="004B27BE">
        <w:t xml:space="preserve"> по внедрению результатов работы и по определению предполагаемого предприятия-изготовителя головных (поставочны</w:t>
      </w:r>
      <w:r>
        <w:t>х) образцов</w:t>
      </w:r>
    </w:p>
    <w:p w14:paraId="5462FDE1" w14:textId="77777777" w:rsidR="004B27BE" w:rsidRPr="004B27BE" w:rsidRDefault="004B27BE" w:rsidP="0060150C">
      <w:pPr>
        <w:pStyle w:val="a5"/>
        <w:numPr>
          <w:ilvl w:val="0"/>
          <w:numId w:val="5"/>
        </w:numPr>
        <w:jc w:val="both"/>
      </w:pPr>
      <w:r w:rsidRPr="004B27BE">
        <w:t>Определен</w:t>
      </w:r>
      <w:r>
        <w:t>ы</w:t>
      </w:r>
      <w:r w:rsidRPr="004B27BE">
        <w:t xml:space="preserve"> предполагаемы</w:t>
      </w:r>
      <w:r>
        <w:t>е</w:t>
      </w:r>
      <w:r w:rsidRPr="004B27BE">
        <w:t xml:space="preserve"> завод</w:t>
      </w:r>
      <w:r>
        <w:t>ы</w:t>
      </w:r>
      <w:r w:rsidRPr="004B27BE">
        <w:t xml:space="preserve"> по изготов</w:t>
      </w:r>
      <w:r>
        <w:t>лению технологических элементов</w:t>
      </w:r>
    </w:p>
    <w:p w14:paraId="74B2746E" w14:textId="77777777" w:rsidR="004B27BE" w:rsidRPr="004B27BE" w:rsidRDefault="004B27BE" w:rsidP="0060150C">
      <w:pPr>
        <w:pStyle w:val="a5"/>
        <w:numPr>
          <w:ilvl w:val="0"/>
          <w:numId w:val="5"/>
        </w:numPr>
        <w:jc w:val="both"/>
      </w:pPr>
      <w:r w:rsidRPr="004B27BE">
        <w:t>Проведен</w:t>
      </w:r>
      <w:r>
        <w:t>ы</w:t>
      </w:r>
      <w:r w:rsidRPr="004B27BE">
        <w:t xml:space="preserve"> патентны</w:t>
      </w:r>
      <w:r>
        <w:t>е исследования</w:t>
      </w:r>
    </w:p>
    <w:p w14:paraId="7D299C0A" w14:textId="77777777" w:rsidR="004B27BE" w:rsidRPr="0067263F" w:rsidRDefault="004B27BE" w:rsidP="0060150C">
      <w:pPr>
        <w:jc w:val="both"/>
      </w:pPr>
    </w:p>
    <w:p w14:paraId="4054240B" w14:textId="77777777" w:rsidR="00E5314D" w:rsidRDefault="00E5314D" w:rsidP="0060150C">
      <w:pPr>
        <w:spacing w:after="120"/>
        <w:jc w:val="both"/>
        <w:rPr>
          <w:b/>
          <w:sz w:val="26"/>
          <w:szCs w:val="26"/>
          <w:u w:val="single"/>
        </w:rPr>
      </w:pPr>
      <w:r w:rsidRPr="00F84D92">
        <w:rPr>
          <w:b/>
          <w:sz w:val="26"/>
          <w:szCs w:val="26"/>
          <w:u w:val="single"/>
        </w:rPr>
        <w:t>Область применения</w:t>
      </w:r>
      <w:r w:rsidR="00FD3A3A">
        <w:rPr>
          <w:b/>
          <w:sz w:val="26"/>
          <w:szCs w:val="26"/>
          <w:u w:val="single"/>
        </w:rPr>
        <w:t xml:space="preserve"> </w:t>
      </w:r>
    </w:p>
    <w:p w14:paraId="76F78FF0" w14:textId="77777777" w:rsidR="004B27BE" w:rsidRPr="004B27BE" w:rsidRDefault="004B27BE" w:rsidP="0060150C">
      <w:pPr>
        <w:jc w:val="both"/>
      </w:pPr>
      <w:r w:rsidRPr="004B27BE">
        <w:t xml:space="preserve">Полученные результаты позволяют организовать производство подводной техники для систем мониторинга, комплексного обследования, основанных на использовании телеуправляемых необитаемых подводных аппаратов, оснащённых современной осмотровой системой, звуковизором, навигационной системой, </w:t>
      </w:r>
      <w:r w:rsidR="00083489">
        <w:t>другим</w:t>
      </w:r>
      <w:r w:rsidRPr="004B27BE">
        <w:t xml:space="preserve"> дополнительн</w:t>
      </w:r>
      <w:r w:rsidR="00083489">
        <w:t>ым</w:t>
      </w:r>
      <w:r w:rsidRPr="004B27BE">
        <w:t xml:space="preserve"> оборудовани</w:t>
      </w:r>
      <w:r w:rsidR="00083489">
        <w:t>ем</w:t>
      </w:r>
      <w:r w:rsidRPr="004B27BE">
        <w:t xml:space="preserve">. Результаты работ могут быть востребованы при строительстве, эксплуатации, проведении мониторинга, обследовании гидротехнических сооружений и прилегающей акватории, на судах, платформах, ГЭС, плотинах, других гидротехнических сооружениях, </w:t>
      </w:r>
      <w:r w:rsidR="00083489">
        <w:t xml:space="preserve">для </w:t>
      </w:r>
      <w:r w:rsidRPr="004B27BE">
        <w:t>обследования подводных конструкций мостов, трубопроводов, подводных скважин, морских буровых платформ в шельфовой зоне, в том числе в Арктической зоне Российской Федерации.</w:t>
      </w:r>
    </w:p>
    <w:p w14:paraId="1259D124" w14:textId="77777777" w:rsidR="004B27BE" w:rsidRPr="004B27BE" w:rsidRDefault="004B27BE" w:rsidP="0060150C">
      <w:pPr>
        <w:jc w:val="both"/>
      </w:pPr>
      <w:r w:rsidRPr="004B27BE">
        <w:t>Возможные потребители:</w:t>
      </w:r>
    </w:p>
    <w:p w14:paraId="1AB91BBC" w14:textId="77777777" w:rsidR="00C97442" w:rsidRPr="004B27BE" w:rsidRDefault="00281053" w:rsidP="0060150C">
      <w:pPr>
        <w:pStyle w:val="a5"/>
        <w:numPr>
          <w:ilvl w:val="0"/>
          <w:numId w:val="7"/>
        </w:numPr>
        <w:jc w:val="both"/>
      </w:pPr>
      <w:r w:rsidRPr="004B27BE">
        <w:t xml:space="preserve">предприятия-строители и </w:t>
      </w:r>
      <w:proofErr w:type="spellStart"/>
      <w:r w:rsidRPr="004B27BE">
        <w:t>эксплуатанты</w:t>
      </w:r>
      <w:proofErr w:type="spellEnd"/>
      <w:r w:rsidRPr="004B27BE">
        <w:t xml:space="preserve"> гидроэлектростанций, плотин, других гидротехнических сооружений, морских сооружений по добыче и транспортировке углеводородов, операторы атомных электростанций; </w:t>
      </w:r>
    </w:p>
    <w:p w14:paraId="4A69C3FA" w14:textId="77777777" w:rsidR="00C97442" w:rsidRPr="004B27BE" w:rsidRDefault="00281053" w:rsidP="0060150C">
      <w:pPr>
        <w:pStyle w:val="a5"/>
        <w:numPr>
          <w:ilvl w:val="0"/>
          <w:numId w:val="7"/>
        </w:numPr>
        <w:jc w:val="both"/>
      </w:pPr>
      <w:r w:rsidRPr="004B27BE">
        <w:t xml:space="preserve">портовые предприятия, </w:t>
      </w:r>
      <w:proofErr w:type="gramStart"/>
      <w:r w:rsidRPr="004B27BE">
        <w:t>компании</w:t>
      </w:r>
      <w:proofErr w:type="gramEnd"/>
      <w:r w:rsidRPr="004B27BE">
        <w:t xml:space="preserve"> управляющие морским и речным флотом;</w:t>
      </w:r>
    </w:p>
    <w:p w14:paraId="56902F00" w14:textId="77777777" w:rsidR="00C97442" w:rsidRPr="004B27BE" w:rsidRDefault="00281053" w:rsidP="0060150C">
      <w:pPr>
        <w:pStyle w:val="a5"/>
        <w:numPr>
          <w:ilvl w:val="0"/>
          <w:numId w:val="7"/>
        </w:numPr>
        <w:jc w:val="both"/>
      </w:pPr>
      <w:r w:rsidRPr="004B27BE">
        <w:t>заводы-строители судов и морской техники;</w:t>
      </w:r>
    </w:p>
    <w:p w14:paraId="74680364" w14:textId="77777777" w:rsidR="00C97442" w:rsidRPr="004B27BE" w:rsidRDefault="00281053" w:rsidP="0060150C">
      <w:pPr>
        <w:pStyle w:val="a5"/>
        <w:numPr>
          <w:ilvl w:val="0"/>
          <w:numId w:val="7"/>
        </w:numPr>
        <w:jc w:val="both"/>
      </w:pPr>
      <w:r w:rsidRPr="004B27BE">
        <w:t>государственный службы надзора, МЧС и др.</w:t>
      </w:r>
    </w:p>
    <w:p w14:paraId="5556FED9" w14:textId="77777777" w:rsidR="00E5314D" w:rsidRPr="00F84D92" w:rsidRDefault="00E5314D" w:rsidP="0060150C">
      <w:pPr>
        <w:spacing w:after="120"/>
        <w:jc w:val="both"/>
        <w:rPr>
          <w:b/>
          <w:sz w:val="26"/>
          <w:szCs w:val="26"/>
          <w:u w:val="single"/>
        </w:rPr>
      </w:pPr>
    </w:p>
    <w:p w14:paraId="057BBDDA" w14:textId="77777777" w:rsidR="00E5314D" w:rsidRPr="001434D0" w:rsidRDefault="00E5314D" w:rsidP="0060150C">
      <w:pPr>
        <w:spacing w:after="120"/>
        <w:jc w:val="both"/>
        <w:rPr>
          <w:b/>
          <w:sz w:val="26"/>
          <w:szCs w:val="26"/>
          <w:u w:val="single"/>
        </w:rPr>
      </w:pPr>
      <w:r w:rsidRPr="001434D0">
        <w:rPr>
          <w:b/>
          <w:sz w:val="26"/>
          <w:szCs w:val="26"/>
          <w:u w:val="single"/>
        </w:rPr>
        <w:t>Сведения о конкурент</w:t>
      </w:r>
      <w:r w:rsidR="00BF4238">
        <w:rPr>
          <w:b/>
          <w:sz w:val="26"/>
          <w:szCs w:val="26"/>
          <w:u w:val="single"/>
        </w:rPr>
        <w:t>оспособности</w:t>
      </w:r>
      <w:r w:rsidRPr="001434D0">
        <w:rPr>
          <w:b/>
          <w:sz w:val="26"/>
          <w:szCs w:val="26"/>
          <w:u w:val="single"/>
        </w:rPr>
        <w:t xml:space="preserve"> и возможности замещения импорта.</w:t>
      </w:r>
    </w:p>
    <w:p w14:paraId="772F00B3" w14:textId="77777777" w:rsidR="004B27BE" w:rsidRPr="004B27BE" w:rsidRDefault="004B27BE" w:rsidP="0060150C">
      <w:pPr>
        <w:jc w:val="both"/>
      </w:pPr>
      <w:r w:rsidRPr="004B27BE">
        <w:t>Создаваемый образец обладает рядом конкурентоспособных преимуществ, в том числе на мировом рынке. Создаваемая система замещает ряд импортной техники, аналогов которой до настоящего времени в России не производилось. Производство подобной системы благотворно скажется на участниках всей производственной цепочки (производители кабелей, судового палубного оборудования, сервисные компании и т.п.), позволит им освоить новые образцы конкурентоспособной (в том числе на внешнем рынке) продукции и услуг, создать новые рабочие места, увеличить поступление в бюджет РФ в виде налогов и сборов, улучшить социально-экономическую ситуацию на территориях размещения новых производств.</w:t>
      </w:r>
    </w:p>
    <w:p w14:paraId="613ACF2F" w14:textId="77777777" w:rsidR="0060150C" w:rsidRPr="00017A08" w:rsidRDefault="0060150C" w:rsidP="00283531">
      <w:pPr>
        <w:pStyle w:val="a5"/>
        <w:numPr>
          <w:ilvl w:val="0"/>
          <w:numId w:val="9"/>
        </w:numPr>
        <w:spacing w:before="120" w:after="60"/>
        <w:ind w:left="714" w:hanging="357"/>
        <w:contextualSpacing w:val="0"/>
      </w:pPr>
      <w:r w:rsidRPr="00017A08">
        <w:t>Сравнение с аналогами: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031"/>
        <w:gridCol w:w="2006"/>
        <w:gridCol w:w="2015"/>
        <w:gridCol w:w="2016"/>
      </w:tblGrid>
      <w:tr w:rsidR="0060150C" w14:paraId="09DE5394" w14:textId="77777777" w:rsidTr="00C86612">
        <w:tc>
          <w:tcPr>
            <w:tcW w:w="2084" w:type="dxa"/>
            <w:shd w:val="clear" w:color="auto" w:fill="auto"/>
          </w:tcPr>
          <w:p w14:paraId="282B172A" w14:textId="77777777" w:rsidR="0060150C" w:rsidRDefault="0060150C" w:rsidP="0060150C">
            <w:pPr>
              <w:ind w:right="74"/>
            </w:pPr>
            <w:r>
              <w:t>Характеристика</w:t>
            </w:r>
          </w:p>
        </w:tc>
        <w:tc>
          <w:tcPr>
            <w:tcW w:w="2084" w:type="dxa"/>
            <w:shd w:val="clear" w:color="auto" w:fill="auto"/>
          </w:tcPr>
          <w:p w14:paraId="18247EFA" w14:textId="77777777" w:rsidR="0060150C" w:rsidRDefault="0060150C" w:rsidP="0060150C">
            <w:pPr>
              <w:ind w:right="74"/>
            </w:pPr>
            <w:r>
              <w:t>ТНПА «Обходчик»</w:t>
            </w:r>
          </w:p>
        </w:tc>
        <w:tc>
          <w:tcPr>
            <w:tcW w:w="2084" w:type="dxa"/>
            <w:shd w:val="clear" w:color="auto" w:fill="auto"/>
          </w:tcPr>
          <w:p w14:paraId="4B27F2B2" w14:textId="77777777" w:rsidR="0060150C" w:rsidRDefault="0060150C" w:rsidP="0060150C">
            <w:pPr>
              <w:ind w:right="74"/>
            </w:pPr>
            <w:r w:rsidRPr="00C042FB">
              <w:t>ТНПА «Марлин-350»</w:t>
            </w:r>
            <w:r>
              <w:t xml:space="preserve"> (Россия)</w:t>
            </w:r>
          </w:p>
        </w:tc>
        <w:tc>
          <w:tcPr>
            <w:tcW w:w="2084" w:type="dxa"/>
            <w:shd w:val="clear" w:color="auto" w:fill="auto"/>
          </w:tcPr>
          <w:p w14:paraId="56966124" w14:textId="77777777" w:rsidR="0060150C" w:rsidRDefault="0060150C" w:rsidP="0060150C">
            <w:pPr>
              <w:ind w:right="74"/>
            </w:pPr>
            <w:r w:rsidRPr="00C042FB">
              <w:t>ТНПА «</w:t>
            </w:r>
            <w:r w:rsidRPr="004A65B5">
              <w:rPr>
                <w:lang w:val="en-US"/>
              </w:rPr>
              <w:t>Falcon</w:t>
            </w:r>
            <w:r w:rsidRPr="00C042FB">
              <w:t>»</w:t>
            </w:r>
            <w:r w:rsidRPr="004A65B5">
              <w:rPr>
                <w:lang w:val="en-US"/>
              </w:rPr>
              <w:t xml:space="preserve"> (</w:t>
            </w:r>
            <w:r w:rsidRPr="00C042FB">
              <w:t>Англия)</w:t>
            </w:r>
          </w:p>
        </w:tc>
        <w:tc>
          <w:tcPr>
            <w:tcW w:w="2085" w:type="dxa"/>
            <w:shd w:val="clear" w:color="auto" w:fill="auto"/>
          </w:tcPr>
          <w:p w14:paraId="6219910C" w14:textId="77777777" w:rsidR="0060150C" w:rsidRDefault="0060150C" w:rsidP="0060150C">
            <w:pPr>
              <w:ind w:right="74"/>
            </w:pPr>
            <w:r w:rsidRPr="00C042FB">
              <w:t>ТНПА «</w:t>
            </w:r>
            <w:r w:rsidRPr="004A65B5">
              <w:rPr>
                <w:lang w:val="en-US"/>
              </w:rPr>
              <w:t>H</w:t>
            </w:r>
            <w:r w:rsidRPr="00C042FB">
              <w:t xml:space="preserve">300 </w:t>
            </w:r>
            <w:proofErr w:type="spellStart"/>
            <w:r w:rsidRPr="004A65B5">
              <w:rPr>
                <w:lang w:val="en-US"/>
              </w:rPr>
              <w:t>mk</w:t>
            </w:r>
            <w:proofErr w:type="spellEnd"/>
            <w:r>
              <w:t> </w:t>
            </w:r>
            <w:r w:rsidRPr="004A65B5">
              <w:rPr>
                <w:lang w:val="en-US"/>
              </w:rPr>
              <w:t>II</w:t>
            </w:r>
            <w:r w:rsidRPr="00C042FB">
              <w:t>» (Франция)</w:t>
            </w:r>
          </w:p>
        </w:tc>
      </w:tr>
      <w:tr w:rsidR="0060150C" w14:paraId="794FC2E3" w14:textId="77777777" w:rsidTr="00C86612">
        <w:tc>
          <w:tcPr>
            <w:tcW w:w="2084" w:type="dxa"/>
            <w:shd w:val="clear" w:color="auto" w:fill="auto"/>
          </w:tcPr>
          <w:p w14:paraId="3138FC8E" w14:textId="77777777" w:rsidR="0060150C" w:rsidRDefault="0060150C" w:rsidP="0060150C">
            <w:pPr>
              <w:ind w:right="74"/>
              <w:jc w:val="both"/>
            </w:pPr>
            <w:r>
              <w:t>Глубина погружения, м</w:t>
            </w:r>
          </w:p>
        </w:tc>
        <w:tc>
          <w:tcPr>
            <w:tcW w:w="2084" w:type="dxa"/>
            <w:shd w:val="clear" w:color="auto" w:fill="auto"/>
          </w:tcPr>
          <w:p w14:paraId="723D985E" w14:textId="77777777" w:rsidR="0060150C" w:rsidRDefault="0060150C" w:rsidP="0060150C">
            <w:pPr>
              <w:ind w:right="74"/>
              <w:jc w:val="both"/>
            </w:pPr>
            <w:r>
              <w:t>500</w:t>
            </w:r>
          </w:p>
        </w:tc>
        <w:tc>
          <w:tcPr>
            <w:tcW w:w="2084" w:type="dxa"/>
            <w:shd w:val="clear" w:color="auto" w:fill="auto"/>
          </w:tcPr>
          <w:p w14:paraId="400B449C" w14:textId="77777777" w:rsidR="0060150C" w:rsidRDefault="0060150C" w:rsidP="0060150C">
            <w:pPr>
              <w:ind w:right="74"/>
              <w:jc w:val="both"/>
            </w:pPr>
            <w:r>
              <w:t>350</w:t>
            </w:r>
          </w:p>
        </w:tc>
        <w:tc>
          <w:tcPr>
            <w:tcW w:w="2084" w:type="dxa"/>
            <w:shd w:val="clear" w:color="auto" w:fill="auto"/>
          </w:tcPr>
          <w:p w14:paraId="0B53F542" w14:textId="77777777" w:rsidR="0060150C" w:rsidRDefault="0060150C" w:rsidP="0060150C">
            <w:pPr>
              <w:ind w:right="74"/>
              <w:jc w:val="both"/>
            </w:pPr>
            <w:r>
              <w:t>300</w:t>
            </w:r>
          </w:p>
        </w:tc>
        <w:tc>
          <w:tcPr>
            <w:tcW w:w="2085" w:type="dxa"/>
            <w:shd w:val="clear" w:color="auto" w:fill="auto"/>
          </w:tcPr>
          <w:p w14:paraId="2EF49DA0" w14:textId="77777777" w:rsidR="0060150C" w:rsidRDefault="0060150C" w:rsidP="0060150C">
            <w:pPr>
              <w:ind w:right="74"/>
              <w:jc w:val="both"/>
            </w:pPr>
            <w:r>
              <w:t>300</w:t>
            </w:r>
          </w:p>
        </w:tc>
      </w:tr>
      <w:tr w:rsidR="0060150C" w14:paraId="4587C55B" w14:textId="77777777" w:rsidTr="00C86612">
        <w:tc>
          <w:tcPr>
            <w:tcW w:w="2084" w:type="dxa"/>
            <w:shd w:val="clear" w:color="auto" w:fill="auto"/>
          </w:tcPr>
          <w:p w14:paraId="03F46E69" w14:textId="77777777" w:rsidR="0060150C" w:rsidRDefault="0060150C" w:rsidP="0060150C">
            <w:pPr>
              <w:ind w:right="74"/>
              <w:jc w:val="both"/>
            </w:pPr>
            <w:r>
              <w:t>Вес, кг</w:t>
            </w:r>
          </w:p>
        </w:tc>
        <w:tc>
          <w:tcPr>
            <w:tcW w:w="2084" w:type="dxa"/>
            <w:shd w:val="clear" w:color="auto" w:fill="auto"/>
          </w:tcPr>
          <w:p w14:paraId="533C7401" w14:textId="77777777" w:rsidR="0060150C" w:rsidRDefault="0060150C" w:rsidP="0060150C">
            <w:pPr>
              <w:ind w:right="74"/>
              <w:jc w:val="both"/>
            </w:pPr>
            <w:r>
              <w:t>92</w:t>
            </w:r>
          </w:p>
        </w:tc>
        <w:tc>
          <w:tcPr>
            <w:tcW w:w="2084" w:type="dxa"/>
            <w:shd w:val="clear" w:color="auto" w:fill="auto"/>
          </w:tcPr>
          <w:p w14:paraId="513B3D9A" w14:textId="77777777" w:rsidR="0060150C" w:rsidRDefault="0060150C" w:rsidP="0060150C">
            <w:pPr>
              <w:ind w:right="74"/>
              <w:jc w:val="both"/>
            </w:pPr>
            <w:r>
              <w:t>50</w:t>
            </w:r>
          </w:p>
        </w:tc>
        <w:tc>
          <w:tcPr>
            <w:tcW w:w="2084" w:type="dxa"/>
            <w:shd w:val="clear" w:color="auto" w:fill="auto"/>
          </w:tcPr>
          <w:p w14:paraId="68B724B8" w14:textId="77777777" w:rsidR="0060150C" w:rsidRDefault="0060150C" w:rsidP="0060150C">
            <w:pPr>
              <w:ind w:right="74"/>
              <w:jc w:val="both"/>
            </w:pPr>
            <w:r>
              <w:t>62</w:t>
            </w:r>
          </w:p>
        </w:tc>
        <w:tc>
          <w:tcPr>
            <w:tcW w:w="2085" w:type="dxa"/>
            <w:shd w:val="clear" w:color="auto" w:fill="auto"/>
          </w:tcPr>
          <w:p w14:paraId="550896A3" w14:textId="77777777" w:rsidR="0060150C" w:rsidRDefault="0060150C" w:rsidP="0060150C">
            <w:pPr>
              <w:ind w:right="74"/>
              <w:jc w:val="both"/>
            </w:pPr>
            <w:r>
              <w:t>70</w:t>
            </w:r>
          </w:p>
        </w:tc>
      </w:tr>
      <w:tr w:rsidR="0060150C" w14:paraId="3AC9A73B" w14:textId="77777777" w:rsidTr="00C86612">
        <w:tc>
          <w:tcPr>
            <w:tcW w:w="2084" w:type="dxa"/>
            <w:shd w:val="clear" w:color="auto" w:fill="auto"/>
          </w:tcPr>
          <w:p w14:paraId="04AAFB3F" w14:textId="77777777" w:rsidR="0060150C" w:rsidRDefault="0060150C" w:rsidP="0060150C">
            <w:pPr>
              <w:ind w:right="74"/>
              <w:jc w:val="both"/>
            </w:pPr>
            <w:r>
              <w:t>Скорость, уз</w:t>
            </w:r>
          </w:p>
        </w:tc>
        <w:tc>
          <w:tcPr>
            <w:tcW w:w="2084" w:type="dxa"/>
            <w:shd w:val="clear" w:color="auto" w:fill="auto"/>
          </w:tcPr>
          <w:p w14:paraId="2E75426E" w14:textId="77777777" w:rsidR="0060150C" w:rsidRDefault="0060150C" w:rsidP="0060150C">
            <w:pPr>
              <w:ind w:right="74"/>
              <w:jc w:val="both"/>
            </w:pPr>
            <w:r>
              <w:t>6</w:t>
            </w:r>
          </w:p>
        </w:tc>
        <w:tc>
          <w:tcPr>
            <w:tcW w:w="2084" w:type="dxa"/>
            <w:shd w:val="clear" w:color="auto" w:fill="auto"/>
          </w:tcPr>
          <w:p w14:paraId="638245AF" w14:textId="77777777" w:rsidR="0060150C" w:rsidRDefault="0060150C" w:rsidP="0060150C">
            <w:pPr>
              <w:ind w:right="74"/>
              <w:jc w:val="both"/>
            </w:pPr>
            <w:r>
              <w:t>2,5</w:t>
            </w:r>
          </w:p>
        </w:tc>
        <w:tc>
          <w:tcPr>
            <w:tcW w:w="2084" w:type="dxa"/>
            <w:shd w:val="clear" w:color="auto" w:fill="auto"/>
          </w:tcPr>
          <w:p w14:paraId="17B82E9B" w14:textId="77777777" w:rsidR="0060150C" w:rsidRDefault="0060150C" w:rsidP="0060150C">
            <w:pPr>
              <w:ind w:right="74"/>
              <w:jc w:val="both"/>
            </w:pPr>
            <w:r>
              <w:t>3</w:t>
            </w:r>
          </w:p>
        </w:tc>
        <w:tc>
          <w:tcPr>
            <w:tcW w:w="2085" w:type="dxa"/>
            <w:shd w:val="clear" w:color="auto" w:fill="auto"/>
          </w:tcPr>
          <w:p w14:paraId="0FE0B698" w14:textId="77777777" w:rsidR="0060150C" w:rsidRDefault="0060150C" w:rsidP="0060150C">
            <w:pPr>
              <w:ind w:right="74"/>
              <w:jc w:val="both"/>
            </w:pPr>
            <w:r>
              <w:t>3,5</w:t>
            </w:r>
          </w:p>
        </w:tc>
      </w:tr>
      <w:tr w:rsidR="00A020A2" w14:paraId="19F22127" w14:textId="77777777" w:rsidTr="00C86612">
        <w:tc>
          <w:tcPr>
            <w:tcW w:w="2084" w:type="dxa"/>
            <w:shd w:val="clear" w:color="auto" w:fill="auto"/>
          </w:tcPr>
          <w:p w14:paraId="65215D3F" w14:textId="77777777" w:rsidR="00A020A2" w:rsidRDefault="00A020A2" w:rsidP="0060150C">
            <w:pPr>
              <w:ind w:right="74"/>
              <w:jc w:val="both"/>
            </w:pPr>
            <w:r>
              <w:t xml:space="preserve">Стоимость, млн. </w:t>
            </w:r>
            <w:proofErr w:type="spellStart"/>
            <w:r>
              <w:t>руб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14:paraId="4C03196B" w14:textId="77777777" w:rsidR="00A020A2" w:rsidRDefault="00A020A2" w:rsidP="0060150C">
            <w:pPr>
              <w:ind w:right="74"/>
              <w:jc w:val="both"/>
            </w:pPr>
            <w:r>
              <w:t>7,7</w:t>
            </w:r>
          </w:p>
        </w:tc>
        <w:tc>
          <w:tcPr>
            <w:tcW w:w="2084" w:type="dxa"/>
            <w:shd w:val="clear" w:color="auto" w:fill="auto"/>
          </w:tcPr>
          <w:p w14:paraId="2DF30E6A" w14:textId="77777777" w:rsidR="00A020A2" w:rsidRPr="00A020A2" w:rsidRDefault="00A020A2" w:rsidP="0060150C">
            <w:pPr>
              <w:ind w:right="74"/>
              <w:jc w:val="both"/>
              <w:rPr>
                <w:lang w:val="en-US"/>
              </w:rPr>
            </w:pPr>
            <w:r>
              <w:rPr>
                <w:lang w:val="en-US"/>
              </w:rPr>
              <w:t>~10</w:t>
            </w:r>
          </w:p>
        </w:tc>
        <w:tc>
          <w:tcPr>
            <w:tcW w:w="2084" w:type="dxa"/>
            <w:shd w:val="clear" w:color="auto" w:fill="auto"/>
          </w:tcPr>
          <w:p w14:paraId="607CCB9A" w14:textId="77777777" w:rsidR="00A020A2" w:rsidRDefault="008A52A5" w:rsidP="0060150C">
            <w:pPr>
              <w:ind w:right="74"/>
              <w:jc w:val="both"/>
            </w:pPr>
            <w:r>
              <w:t>б</w:t>
            </w:r>
            <w:r w:rsidR="00A020A2">
              <w:t>олее 15</w:t>
            </w:r>
            <w:r w:rsidR="00281053">
              <w:t>,</w:t>
            </w:r>
          </w:p>
          <w:p w14:paraId="2E9BBDA5" w14:textId="77777777" w:rsidR="00281053" w:rsidRPr="00A020A2" w:rsidRDefault="00281053" w:rsidP="0060150C">
            <w:pPr>
              <w:ind w:right="74"/>
              <w:jc w:val="both"/>
            </w:pPr>
            <w:r>
              <w:t>под санкциями</w:t>
            </w:r>
          </w:p>
        </w:tc>
        <w:tc>
          <w:tcPr>
            <w:tcW w:w="2085" w:type="dxa"/>
            <w:shd w:val="clear" w:color="auto" w:fill="auto"/>
          </w:tcPr>
          <w:p w14:paraId="27C72F98" w14:textId="77777777" w:rsidR="00281053" w:rsidRDefault="008A52A5" w:rsidP="00281053">
            <w:pPr>
              <w:ind w:right="74"/>
              <w:jc w:val="both"/>
            </w:pPr>
            <w:r>
              <w:t>б</w:t>
            </w:r>
            <w:r w:rsidR="00A020A2">
              <w:t>олее 15</w:t>
            </w:r>
            <w:r w:rsidR="00281053">
              <w:t>,</w:t>
            </w:r>
          </w:p>
          <w:p w14:paraId="1F79AD17" w14:textId="77777777" w:rsidR="00A020A2" w:rsidRDefault="00281053" w:rsidP="00281053">
            <w:pPr>
              <w:ind w:right="74"/>
              <w:jc w:val="both"/>
            </w:pPr>
            <w:r>
              <w:t>под санкциями</w:t>
            </w:r>
          </w:p>
        </w:tc>
      </w:tr>
    </w:tbl>
    <w:p w14:paraId="78EE87D1" w14:textId="77777777" w:rsidR="00AD728D" w:rsidRDefault="00AD728D" w:rsidP="0060150C">
      <w:pPr>
        <w:jc w:val="both"/>
      </w:pPr>
    </w:p>
    <w:sectPr w:rsidR="00AD728D" w:rsidSect="000035A4">
      <w:footerReference w:type="default" r:id="rId12"/>
      <w:pgSz w:w="11906" w:h="16838"/>
      <w:pgMar w:top="851" w:right="680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78FA4" w14:textId="77777777" w:rsidR="000035A4" w:rsidRDefault="000035A4" w:rsidP="000035A4">
      <w:r>
        <w:separator/>
      </w:r>
    </w:p>
  </w:endnote>
  <w:endnote w:type="continuationSeparator" w:id="0">
    <w:p w14:paraId="3F857CCE" w14:textId="77777777" w:rsidR="000035A4" w:rsidRDefault="000035A4" w:rsidP="0000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455037"/>
      <w:docPartObj>
        <w:docPartGallery w:val="Page Numbers (Bottom of Page)"/>
        <w:docPartUnique/>
      </w:docPartObj>
    </w:sdtPr>
    <w:sdtEndPr/>
    <w:sdtContent>
      <w:p w14:paraId="6ED00298" w14:textId="03D4BE84" w:rsidR="000035A4" w:rsidRDefault="000035A4" w:rsidP="000035A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4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697CD" w14:textId="77777777" w:rsidR="000035A4" w:rsidRDefault="000035A4" w:rsidP="000035A4">
      <w:r>
        <w:separator/>
      </w:r>
    </w:p>
  </w:footnote>
  <w:footnote w:type="continuationSeparator" w:id="0">
    <w:p w14:paraId="6A0E7F65" w14:textId="77777777" w:rsidR="000035A4" w:rsidRDefault="000035A4" w:rsidP="0000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6E32"/>
    <w:multiLevelType w:val="hybridMultilevel"/>
    <w:tmpl w:val="87FE9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CC111BA"/>
    <w:multiLevelType w:val="hybridMultilevel"/>
    <w:tmpl w:val="1018C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826CF"/>
    <w:multiLevelType w:val="hybridMultilevel"/>
    <w:tmpl w:val="FE187F32"/>
    <w:lvl w:ilvl="0" w:tplc="1F602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3A0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80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66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6ED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65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6E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2E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61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37DD4"/>
    <w:multiLevelType w:val="hybridMultilevel"/>
    <w:tmpl w:val="05224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3307E"/>
    <w:multiLevelType w:val="hybridMultilevel"/>
    <w:tmpl w:val="38881588"/>
    <w:lvl w:ilvl="0" w:tplc="75720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20E20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60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108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3E3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CEF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1E8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AE58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6A5F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7C09355D"/>
    <w:multiLevelType w:val="hybridMultilevel"/>
    <w:tmpl w:val="F4AAE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0035A4"/>
    <w:rsid w:val="00082F41"/>
    <w:rsid w:val="00083489"/>
    <w:rsid w:val="00281053"/>
    <w:rsid w:val="00283531"/>
    <w:rsid w:val="002C1365"/>
    <w:rsid w:val="00334A47"/>
    <w:rsid w:val="004B27BE"/>
    <w:rsid w:val="0060150C"/>
    <w:rsid w:val="0067263F"/>
    <w:rsid w:val="007A0BE5"/>
    <w:rsid w:val="007A121E"/>
    <w:rsid w:val="007D4D25"/>
    <w:rsid w:val="008A52A5"/>
    <w:rsid w:val="008F17EB"/>
    <w:rsid w:val="00A020A2"/>
    <w:rsid w:val="00AD728D"/>
    <w:rsid w:val="00AF39F6"/>
    <w:rsid w:val="00B239CF"/>
    <w:rsid w:val="00BB2275"/>
    <w:rsid w:val="00BF4238"/>
    <w:rsid w:val="00C97442"/>
    <w:rsid w:val="00CA4461"/>
    <w:rsid w:val="00E5314D"/>
    <w:rsid w:val="00E64A14"/>
    <w:rsid w:val="00EB3996"/>
    <w:rsid w:val="00F9211C"/>
    <w:rsid w:val="00F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F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table" w:styleId="a6">
    <w:name w:val="Table Grid"/>
    <w:basedOn w:val="a1"/>
    <w:uiPriority w:val="59"/>
    <w:rsid w:val="0067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17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7E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035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3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35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35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table" w:styleId="a6">
    <w:name w:val="Table Grid"/>
    <w:basedOn w:val="a1"/>
    <w:uiPriority w:val="59"/>
    <w:rsid w:val="0067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17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7E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035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3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35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35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6004">
          <w:marLeft w:val="547"/>
          <w:marRight w:val="72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189">
          <w:marLeft w:val="547"/>
          <w:marRight w:val="72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717">
          <w:marLeft w:val="547"/>
          <w:marRight w:val="72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61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4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6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Дарья</cp:lastModifiedBy>
  <cp:revision>9</cp:revision>
  <cp:lastPrinted>2017-11-15T10:24:00Z</cp:lastPrinted>
  <dcterms:created xsi:type="dcterms:W3CDTF">2017-11-13T07:23:00Z</dcterms:created>
  <dcterms:modified xsi:type="dcterms:W3CDTF">2018-01-12T11:31:00Z</dcterms:modified>
</cp:coreProperties>
</file>