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9CF" w:rsidRPr="00EA7F5A" w:rsidRDefault="00B239CF" w:rsidP="00B239CF">
      <w:pPr>
        <w:keepNext/>
        <w:jc w:val="right"/>
        <w:outlineLvl w:val="1"/>
        <w:rPr>
          <w:bCs/>
          <w:i/>
          <w:iCs/>
          <w:color w:val="0000FF"/>
          <w:sz w:val="26"/>
          <w:szCs w:val="26"/>
        </w:rPr>
      </w:pPr>
      <w:r w:rsidRPr="00EA7F5A">
        <w:rPr>
          <w:bCs/>
          <w:i/>
          <w:iCs/>
          <w:color w:val="0000FF"/>
          <w:sz w:val="26"/>
          <w:szCs w:val="26"/>
        </w:rPr>
        <w:t>Государственная программа Российской Федерации</w:t>
      </w:r>
      <w:r w:rsidRPr="00EA7F5A">
        <w:rPr>
          <w:bCs/>
          <w:i/>
          <w:iCs/>
          <w:color w:val="0000FF"/>
          <w:sz w:val="26"/>
          <w:szCs w:val="26"/>
        </w:rPr>
        <w:br/>
        <w:t xml:space="preserve"> «Развитие судостроения и техники для освоения </w:t>
      </w:r>
      <w:r w:rsidRPr="00EA7F5A">
        <w:rPr>
          <w:bCs/>
          <w:i/>
          <w:iCs/>
          <w:color w:val="0000FF"/>
          <w:sz w:val="26"/>
          <w:szCs w:val="26"/>
        </w:rPr>
        <w:br/>
        <w:t>шельфовых месторождений на 2013-2030 годы»</w:t>
      </w:r>
    </w:p>
    <w:p w:rsidR="00B239CF" w:rsidRDefault="00B239CF" w:rsidP="00E5314D">
      <w:pPr>
        <w:jc w:val="right"/>
        <w:rPr>
          <w:i/>
          <w:color w:val="0000FF"/>
          <w:sz w:val="28"/>
          <w:szCs w:val="28"/>
        </w:rPr>
      </w:pPr>
    </w:p>
    <w:p w:rsidR="00E5314D" w:rsidRDefault="00BF4238" w:rsidP="00E5314D">
      <w:pPr>
        <w:jc w:val="right"/>
        <w:rPr>
          <w:i/>
          <w:color w:val="0000FF"/>
          <w:sz w:val="28"/>
          <w:szCs w:val="28"/>
        </w:rPr>
      </w:pPr>
      <w:r>
        <w:rPr>
          <w:i/>
          <w:color w:val="0000FF"/>
          <w:sz w:val="28"/>
          <w:szCs w:val="28"/>
        </w:rPr>
        <w:t>Подпрограмма 1.</w:t>
      </w:r>
    </w:p>
    <w:p w:rsidR="00BF4238" w:rsidRDefault="007D4D25" w:rsidP="00E5314D">
      <w:pPr>
        <w:jc w:val="right"/>
        <w:rPr>
          <w:i/>
          <w:color w:val="0000FF"/>
          <w:sz w:val="28"/>
          <w:szCs w:val="28"/>
        </w:rPr>
      </w:pPr>
      <w:r>
        <w:rPr>
          <w:i/>
          <w:color w:val="0000FF"/>
          <w:sz w:val="28"/>
          <w:szCs w:val="28"/>
        </w:rPr>
        <w:t xml:space="preserve">2 </w:t>
      </w:r>
      <w:r w:rsidR="00BF4238">
        <w:rPr>
          <w:i/>
          <w:color w:val="0000FF"/>
          <w:sz w:val="28"/>
          <w:szCs w:val="28"/>
        </w:rPr>
        <w:t>направление «</w:t>
      </w:r>
      <w:r>
        <w:rPr>
          <w:i/>
          <w:color w:val="0000FF"/>
          <w:sz w:val="28"/>
          <w:szCs w:val="28"/>
        </w:rPr>
        <w:t>Судостроение</w:t>
      </w:r>
      <w:r w:rsidR="00BF4238">
        <w:rPr>
          <w:i/>
          <w:color w:val="0000FF"/>
          <w:sz w:val="28"/>
          <w:szCs w:val="28"/>
        </w:rPr>
        <w:t>»</w:t>
      </w:r>
    </w:p>
    <w:p w:rsidR="00F6161D" w:rsidRPr="00581B5D" w:rsidRDefault="00F6161D" w:rsidP="00E5314D">
      <w:pPr>
        <w:jc w:val="right"/>
        <w:rPr>
          <w:i/>
          <w:color w:val="0000FF"/>
          <w:sz w:val="28"/>
          <w:szCs w:val="28"/>
        </w:rPr>
      </w:pPr>
    </w:p>
    <w:p w:rsidR="00F6161D" w:rsidRPr="00CB06F3" w:rsidRDefault="00F6161D" w:rsidP="00CB06F3">
      <w:pPr>
        <w:pStyle w:val="2"/>
        <w:spacing w:before="60" w:line="276" w:lineRule="auto"/>
        <w:ind w:left="708"/>
        <w:rPr>
          <w:rFonts w:cs="Arial"/>
          <w:b/>
          <w:bCs/>
          <w:i/>
          <w:iCs/>
          <w:sz w:val="26"/>
          <w:szCs w:val="26"/>
          <w:u w:val="single"/>
        </w:rPr>
      </w:pPr>
      <w:proofErr w:type="gramStart"/>
      <w:r w:rsidRPr="00CB06F3">
        <w:rPr>
          <w:rFonts w:cs="Arial"/>
          <w:b/>
          <w:bCs/>
          <w:i/>
          <w:iCs/>
          <w:sz w:val="26"/>
          <w:szCs w:val="26"/>
          <w:u w:val="single"/>
        </w:rPr>
        <w:t>ОКР</w:t>
      </w:r>
      <w:proofErr w:type="gramEnd"/>
      <w:r w:rsidRPr="00CB06F3">
        <w:rPr>
          <w:rFonts w:cs="Arial"/>
          <w:b/>
          <w:bCs/>
          <w:i/>
          <w:iCs/>
          <w:sz w:val="26"/>
          <w:szCs w:val="26"/>
          <w:u w:val="single"/>
        </w:rPr>
        <w:t xml:space="preserve">  «ГАБАРИТ-А»</w:t>
      </w:r>
    </w:p>
    <w:p w:rsidR="00F6161D" w:rsidRPr="00CB06F3" w:rsidRDefault="00CB06F3" w:rsidP="00CB06F3">
      <w:pPr>
        <w:pStyle w:val="2"/>
        <w:spacing w:before="60"/>
        <w:rPr>
          <w:rFonts w:cs="Arial"/>
          <w:bCs/>
          <w:i/>
          <w:iCs/>
          <w:sz w:val="26"/>
          <w:szCs w:val="26"/>
        </w:rPr>
      </w:pPr>
      <w:r w:rsidRPr="00CB06F3">
        <w:rPr>
          <w:rFonts w:cs="Arial"/>
          <w:bCs/>
          <w:i/>
          <w:iCs/>
          <w:sz w:val="26"/>
          <w:szCs w:val="26"/>
        </w:rPr>
        <w:t>«</w:t>
      </w:r>
      <w:r w:rsidR="00F6161D" w:rsidRPr="00CB06F3">
        <w:rPr>
          <w:rFonts w:cs="Arial"/>
          <w:bCs/>
          <w:i/>
          <w:iCs/>
          <w:sz w:val="26"/>
          <w:szCs w:val="26"/>
        </w:rPr>
        <w:t>Разработка и освоение автоматизированной технологии получения облегченных сварных крупногабаритных панелей из деформируемых алюминиевых сплавов для корпусных конструкций гражданской морской и речной техники с применением методов пластической деформации и высокопроизводительной сварки»</w:t>
      </w:r>
    </w:p>
    <w:p w:rsidR="00E5314D" w:rsidRPr="00CB06F3" w:rsidRDefault="00E5314D" w:rsidP="00CB06F3">
      <w:pPr>
        <w:pStyle w:val="2"/>
        <w:jc w:val="right"/>
        <w:rPr>
          <w:i/>
          <w:color w:val="000000"/>
          <w:sz w:val="26"/>
          <w:szCs w:val="26"/>
        </w:rPr>
      </w:pPr>
      <w:r w:rsidRPr="00CB06F3">
        <w:rPr>
          <w:b/>
          <w:i/>
          <w:sz w:val="26"/>
          <w:szCs w:val="26"/>
        </w:rPr>
        <w:t xml:space="preserve">Головной исполнитель – </w:t>
      </w:r>
      <w:r w:rsidR="00F6161D" w:rsidRPr="00CB06F3">
        <w:rPr>
          <w:b/>
          <w:i/>
          <w:sz w:val="26"/>
          <w:szCs w:val="26"/>
        </w:rPr>
        <w:t>НИЦ «Курчатовский институт» –</w:t>
      </w:r>
      <w:r w:rsidR="00CB06F3">
        <w:rPr>
          <w:b/>
          <w:i/>
          <w:sz w:val="26"/>
          <w:szCs w:val="26"/>
        </w:rPr>
        <w:br/>
      </w:r>
      <w:r w:rsidR="00F6161D" w:rsidRPr="00CB06F3">
        <w:rPr>
          <w:b/>
          <w:i/>
          <w:sz w:val="26"/>
          <w:szCs w:val="26"/>
        </w:rPr>
        <w:t xml:space="preserve"> ЦНИИ КМ Прометей»</w:t>
      </w:r>
    </w:p>
    <w:p w:rsidR="00E5314D" w:rsidRPr="00CB06F3" w:rsidRDefault="00E5314D" w:rsidP="00CB06F3">
      <w:pPr>
        <w:spacing w:before="120" w:after="240"/>
        <w:ind w:left="709"/>
        <w:rPr>
          <w:b/>
          <w:sz w:val="26"/>
          <w:szCs w:val="26"/>
          <w:u w:val="single"/>
        </w:rPr>
      </w:pPr>
      <w:r w:rsidRPr="00CB06F3">
        <w:rPr>
          <w:b/>
          <w:sz w:val="26"/>
          <w:szCs w:val="26"/>
          <w:u w:val="single"/>
        </w:rPr>
        <w:t>Основные полученные пра</w:t>
      </w:r>
      <w:bookmarkStart w:id="0" w:name="_GoBack"/>
      <w:bookmarkEnd w:id="0"/>
      <w:r w:rsidRPr="00CB06F3">
        <w:rPr>
          <w:b/>
          <w:sz w:val="26"/>
          <w:szCs w:val="26"/>
          <w:u w:val="single"/>
        </w:rPr>
        <w:t>ктические результаты.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635"/>
      </w:tblGrid>
      <w:tr w:rsidR="00F6161D" w:rsidRPr="00CB06F3" w:rsidTr="00F6161D">
        <w:tc>
          <w:tcPr>
            <w:tcW w:w="4503" w:type="dxa"/>
          </w:tcPr>
          <w:p w:rsidR="00F6161D" w:rsidRPr="00CB06F3" w:rsidRDefault="00F6161D" w:rsidP="00F6161D">
            <w:pPr>
              <w:spacing w:after="120"/>
              <w:jc w:val="right"/>
              <w:rPr>
                <w:b/>
                <w:sz w:val="26"/>
                <w:szCs w:val="26"/>
                <w:u w:val="single"/>
              </w:rPr>
            </w:pPr>
            <w:r w:rsidRPr="00CB06F3">
              <w:rPr>
                <w:b/>
                <w:noProof/>
                <w:sz w:val="26"/>
                <w:szCs w:val="26"/>
              </w:rPr>
              <w:drawing>
                <wp:inline distT="0" distB="0" distL="0" distR="0" wp14:anchorId="19DB672D" wp14:editId="1111EEF6">
                  <wp:extent cx="2667000" cy="1504950"/>
                  <wp:effectExtent l="19050" t="0" r="0" b="0"/>
                  <wp:docPr id="2" name="Рисунок 1" descr="IMG_20170929_122551.jpg"/>
                  <wp:cNvGraphicFramePr/>
                  <a:graphic xmlns:a="http://schemas.openxmlformats.org/drawingml/2006/main">
                    <a:graphicData uri="http://schemas.openxmlformats.org/drawingml/2006/picture">
                      <pic:pic xmlns:pic="http://schemas.openxmlformats.org/drawingml/2006/picture">
                        <pic:nvPicPr>
                          <pic:cNvPr id="286723" name="Рисунок 11" descr="IMG_20170929_122551.jpg"/>
                          <pic:cNvPicPr>
                            <a:picLocks noChangeAspect="1" noChangeArrowheads="1"/>
                          </pic:cNvPicPr>
                        </pic:nvPicPr>
                        <pic:blipFill>
                          <a:blip r:embed="rId8">
                            <a:extLst>
                              <a:ext uri="{28A0092B-C50C-407E-A947-70E740481C1C}">
                                <a14:useLocalDpi xmlns:a14="http://schemas.microsoft.com/office/drawing/2010/main" val="0"/>
                              </a:ext>
                            </a:extLst>
                          </a:blip>
                          <a:srcRect l="10810" t="25749" r="9200" b="29576"/>
                          <a:stretch>
                            <a:fillRect/>
                          </a:stretch>
                        </pic:blipFill>
                        <pic:spPr bwMode="auto">
                          <a:xfrm>
                            <a:off x="0" y="0"/>
                            <a:ext cx="2667000"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5635" w:type="dxa"/>
          </w:tcPr>
          <w:p w:rsidR="00F6161D" w:rsidRPr="00CB06F3" w:rsidRDefault="00F6161D" w:rsidP="00F6161D">
            <w:pPr>
              <w:spacing w:after="120"/>
              <w:rPr>
                <w:b/>
                <w:sz w:val="26"/>
                <w:szCs w:val="26"/>
              </w:rPr>
            </w:pPr>
            <w:r w:rsidRPr="00CB06F3">
              <w:rPr>
                <w:b/>
                <w:sz w:val="26"/>
                <w:szCs w:val="26"/>
              </w:rPr>
              <w:t>Впервые получены тонкостенные профили толщиной 2,5 мм  из  коррозионностойкого алюминиево-магниевого сплава марки 1565ч.</w:t>
            </w:r>
          </w:p>
          <w:p w:rsidR="00F6161D" w:rsidRPr="00CB06F3" w:rsidRDefault="00F6161D" w:rsidP="00E5314D">
            <w:pPr>
              <w:spacing w:after="120"/>
              <w:rPr>
                <w:b/>
                <w:sz w:val="26"/>
                <w:szCs w:val="26"/>
                <w:u w:val="single"/>
              </w:rPr>
            </w:pPr>
          </w:p>
        </w:tc>
      </w:tr>
      <w:tr w:rsidR="00F6161D" w:rsidRPr="00CB06F3" w:rsidTr="00F6161D">
        <w:tc>
          <w:tcPr>
            <w:tcW w:w="4503" w:type="dxa"/>
          </w:tcPr>
          <w:p w:rsidR="00F6161D" w:rsidRPr="00CB06F3" w:rsidRDefault="00F6161D" w:rsidP="00F6161D">
            <w:pPr>
              <w:spacing w:after="120"/>
              <w:jc w:val="right"/>
              <w:rPr>
                <w:b/>
                <w:sz w:val="26"/>
                <w:szCs w:val="26"/>
              </w:rPr>
            </w:pPr>
            <w:r w:rsidRPr="00CB06F3">
              <w:rPr>
                <w:b/>
                <w:noProof/>
                <w:sz w:val="26"/>
                <w:szCs w:val="26"/>
              </w:rPr>
              <w:drawing>
                <wp:inline distT="0" distB="0" distL="0" distR="0" wp14:anchorId="7808FD06" wp14:editId="0BDFCF16">
                  <wp:extent cx="2663377" cy="1910099"/>
                  <wp:effectExtent l="19050" t="0" r="3623" b="0"/>
                  <wp:docPr id="4" name="Рисунок 3" descr="ста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анок.jpg"/>
                          <pic:cNvPicPr/>
                        </pic:nvPicPr>
                        <pic:blipFill>
                          <a:blip r:embed="rId9"/>
                          <a:srcRect r="5938"/>
                          <a:stretch>
                            <a:fillRect/>
                          </a:stretch>
                        </pic:blipFill>
                        <pic:spPr>
                          <a:xfrm>
                            <a:off x="0" y="0"/>
                            <a:ext cx="2666342" cy="1912225"/>
                          </a:xfrm>
                          <a:prstGeom prst="rect">
                            <a:avLst/>
                          </a:prstGeom>
                        </pic:spPr>
                      </pic:pic>
                    </a:graphicData>
                  </a:graphic>
                </wp:inline>
              </w:drawing>
            </w:r>
          </w:p>
        </w:tc>
        <w:tc>
          <w:tcPr>
            <w:tcW w:w="5635" w:type="dxa"/>
          </w:tcPr>
          <w:p w:rsidR="00F6161D" w:rsidRPr="00CB06F3" w:rsidRDefault="00F6161D" w:rsidP="00F6161D">
            <w:pPr>
              <w:rPr>
                <w:b/>
                <w:sz w:val="26"/>
                <w:szCs w:val="26"/>
              </w:rPr>
            </w:pPr>
            <w:r w:rsidRPr="00CB06F3">
              <w:rPr>
                <w:b/>
                <w:sz w:val="26"/>
                <w:szCs w:val="26"/>
              </w:rPr>
              <w:t>Создан автоматизированный комплекс СТП</w:t>
            </w:r>
          </w:p>
          <w:p w:rsidR="00F6161D" w:rsidRPr="00CB06F3" w:rsidRDefault="00F6161D" w:rsidP="00F6161D">
            <w:pPr>
              <w:rPr>
                <w:sz w:val="26"/>
                <w:szCs w:val="26"/>
              </w:rPr>
            </w:pPr>
            <w:r w:rsidRPr="00CB06F3">
              <w:rPr>
                <w:sz w:val="26"/>
                <w:szCs w:val="26"/>
              </w:rPr>
              <w:t>Габаритные размеры: 12185х5207х2711</w:t>
            </w:r>
          </w:p>
          <w:p w:rsidR="00F6161D" w:rsidRPr="00CB06F3" w:rsidRDefault="00F6161D" w:rsidP="00F6161D">
            <w:pPr>
              <w:rPr>
                <w:sz w:val="26"/>
                <w:szCs w:val="26"/>
              </w:rPr>
            </w:pPr>
            <w:r w:rsidRPr="00CB06F3">
              <w:rPr>
                <w:sz w:val="26"/>
                <w:szCs w:val="26"/>
              </w:rPr>
              <w:t>Вес –  35 т.</w:t>
            </w:r>
          </w:p>
          <w:p w:rsidR="00F6161D" w:rsidRPr="00CB06F3" w:rsidRDefault="00F6161D" w:rsidP="00F6161D">
            <w:pPr>
              <w:rPr>
                <w:sz w:val="26"/>
                <w:szCs w:val="26"/>
              </w:rPr>
            </w:pPr>
            <w:r w:rsidRPr="00CB06F3">
              <w:rPr>
                <w:sz w:val="26"/>
                <w:szCs w:val="26"/>
              </w:rPr>
              <w:t>Длина сварного шва –  8200 мм.</w:t>
            </w:r>
          </w:p>
          <w:p w:rsidR="00F6161D" w:rsidRPr="00CB06F3" w:rsidRDefault="00F6161D" w:rsidP="00F6161D">
            <w:pPr>
              <w:rPr>
                <w:sz w:val="26"/>
                <w:szCs w:val="26"/>
              </w:rPr>
            </w:pPr>
            <w:r w:rsidRPr="00CB06F3">
              <w:rPr>
                <w:sz w:val="26"/>
                <w:szCs w:val="26"/>
              </w:rPr>
              <w:t>Ширина сварной карты – 3540 мм.</w:t>
            </w:r>
          </w:p>
          <w:p w:rsidR="00F6161D" w:rsidRPr="00CB06F3" w:rsidRDefault="00F6161D" w:rsidP="00F6161D">
            <w:pPr>
              <w:rPr>
                <w:sz w:val="26"/>
                <w:szCs w:val="26"/>
              </w:rPr>
            </w:pPr>
            <w:r w:rsidRPr="00CB06F3">
              <w:rPr>
                <w:sz w:val="26"/>
                <w:szCs w:val="26"/>
              </w:rPr>
              <w:t>Энергопотребление –  40кВт.</w:t>
            </w:r>
          </w:p>
          <w:p w:rsidR="00F6161D" w:rsidRPr="00CB06F3" w:rsidRDefault="00F6161D" w:rsidP="00F6161D">
            <w:pPr>
              <w:rPr>
                <w:sz w:val="26"/>
                <w:szCs w:val="26"/>
              </w:rPr>
            </w:pPr>
            <w:r w:rsidRPr="00CB06F3">
              <w:rPr>
                <w:sz w:val="26"/>
                <w:szCs w:val="26"/>
              </w:rPr>
              <w:t>Свариваемые толщины (по алюминию): от 1 до 6 мм.</w:t>
            </w:r>
          </w:p>
          <w:p w:rsidR="00F6161D" w:rsidRPr="00CB06F3" w:rsidRDefault="00F6161D" w:rsidP="00F6161D">
            <w:pPr>
              <w:rPr>
                <w:sz w:val="26"/>
                <w:szCs w:val="26"/>
              </w:rPr>
            </w:pPr>
            <w:r w:rsidRPr="00CB06F3">
              <w:rPr>
                <w:sz w:val="26"/>
                <w:szCs w:val="26"/>
              </w:rPr>
              <w:t>Скорость сварки – от 12 до 60 м/ч.</w:t>
            </w:r>
          </w:p>
          <w:p w:rsidR="00F6161D" w:rsidRPr="00CB06F3" w:rsidRDefault="00F6161D" w:rsidP="00F6161D">
            <w:pPr>
              <w:rPr>
                <w:b/>
                <w:sz w:val="26"/>
                <w:szCs w:val="26"/>
                <w:u w:val="single"/>
              </w:rPr>
            </w:pPr>
            <w:r w:rsidRPr="00CB06F3">
              <w:rPr>
                <w:sz w:val="26"/>
                <w:szCs w:val="26"/>
              </w:rPr>
              <w:t>Средняя производительность при 80% загрузке – 224 тонн/год.</w:t>
            </w:r>
          </w:p>
        </w:tc>
      </w:tr>
      <w:tr w:rsidR="00F6161D" w:rsidRPr="00CB06F3" w:rsidTr="00F6161D">
        <w:tc>
          <w:tcPr>
            <w:tcW w:w="4503" w:type="dxa"/>
          </w:tcPr>
          <w:p w:rsidR="00F6161D" w:rsidRPr="00CB06F3" w:rsidRDefault="00F6161D" w:rsidP="00E5314D">
            <w:pPr>
              <w:spacing w:after="120"/>
              <w:rPr>
                <w:b/>
                <w:sz w:val="26"/>
                <w:szCs w:val="26"/>
              </w:rPr>
            </w:pPr>
            <w:r w:rsidRPr="00CB06F3">
              <w:rPr>
                <w:b/>
                <w:noProof/>
                <w:sz w:val="26"/>
                <w:szCs w:val="26"/>
              </w:rPr>
              <w:drawing>
                <wp:inline distT="0" distB="0" distL="0" distR="0" wp14:anchorId="241834DE" wp14:editId="4FB0F320">
                  <wp:extent cx="2705100" cy="1219200"/>
                  <wp:effectExtent l="19050" t="0" r="0" b="0"/>
                  <wp:docPr id="5" name="Рисунок 4" descr="S1910021_2.jpg"/>
                  <wp:cNvGraphicFramePr/>
                  <a:graphic xmlns:a="http://schemas.openxmlformats.org/drawingml/2006/main">
                    <a:graphicData uri="http://schemas.openxmlformats.org/drawingml/2006/picture">
                      <pic:pic xmlns:pic="http://schemas.openxmlformats.org/drawingml/2006/picture">
                        <pic:nvPicPr>
                          <pic:cNvPr id="291841" name="Рисунок 2" descr="S1910021_2.jpg"/>
                          <pic:cNvPicPr>
                            <a:picLocks noChangeAspect="1"/>
                          </pic:cNvPicPr>
                        </pic:nvPicPr>
                        <pic:blipFill>
                          <a:blip r:embed="rId10" cstate="print">
                            <a:lum contrast="20000"/>
                            <a:extLst>
                              <a:ext uri="{28A0092B-C50C-407E-A947-70E740481C1C}">
                                <a14:useLocalDpi xmlns:a14="http://schemas.microsoft.com/office/drawing/2010/main" val="0"/>
                              </a:ext>
                            </a:extLst>
                          </a:blip>
                          <a:srcRect t="9721" r="5469"/>
                          <a:stretch>
                            <a:fillRect/>
                          </a:stretch>
                        </pic:blipFill>
                        <pic:spPr bwMode="auto">
                          <a:xfrm>
                            <a:off x="0" y="0"/>
                            <a:ext cx="2707723" cy="1220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5635" w:type="dxa"/>
          </w:tcPr>
          <w:p w:rsidR="00B1238E" w:rsidRPr="00CB06F3" w:rsidRDefault="00B1238E" w:rsidP="00F6161D">
            <w:pPr>
              <w:spacing w:after="120"/>
              <w:rPr>
                <w:b/>
                <w:sz w:val="26"/>
                <w:szCs w:val="26"/>
              </w:rPr>
            </w:pPr>
          </w:p>
          <w:p w:rsidR="00F6161D" w:rsidRPr="00CB06F3" w:rsidRDefault="00F6161D" w:rsidP="00F6161D">
            <w:pPr>
              <w:spacing w:after="120"/>
              <w:rPr>
                <w:b/>
                <w:sz w:val="26"/>
                <w:szCs w:val="26"/>
              </w:rPr>
            </w:pPr>
            <w:r w:rsidRPr="00CB06F3">
              <w:rPr>
                <w:b/>
                <w:sz w:val="26"/>
                <w:szCs w:val="26"/>
              </w:rPr>
              <w:t xml:space="preserve">Изготовлена опытная партия тонкостенных сварных облегченных панелей из сплавов 1565ч и 1310 </w:t>
            </w:r>
          </w:p>
        </w:tc>
      </w:tr>
    </w:tbl>
    <w:p w:rsidR="00F6161D" w:rsidRPr="00CB06F3" w:rsidRDefault="00F6161D" w:rsidP="00E5314D">
      <w:pPr>
        <w:spacing w:after="120"/>
        <w:rPr>
          <w:b/>
          <w:sz w:val="26"/>
          <w:szCs w:val="26"/>
          <w:u w:val="single"/>
        </w:rPr>
      </w:pPr>
    </w:p>
    <w:p w:rsidR="00E5314D" w:rsidRPr="00CB06F3" w:rsidRDefault="00E5314D" w:rsidP="00E5314D">
      <w:pPr>
        <w:spacing w:after="120"/>
        <w:rPr>
          <w:b/>
          <w:sz w:val="26"/>
          <w:szCs w:val="26"/>
          <w:u w:val="single"/>
        </w:rPr>
      </w:pPr>
      <w:r w:rsidRPr="00CB06F3">
        <w:rPr>
          <w:b/>
          <w:sz w:val="26"/>
          <w:szCs w:val="26"/>
          <w:u w:val="single"/>
        </w:rPr>
        <w:t>Область применения</w:t>
      </w:r>
    </w:p>
    <w:p w:rsidR="00B1238E" w:rsidRPr="00CB06F3" w:rsidRDefault="00B1238E" w:rsidP="00B1238E">
      <w:pPr>
        <w:spacing w:after="120"/>
        <w:jc w:val="both"/>
        <w:rPr>
          <w:sz w:val="26"/>
          <w:szCs w:val="26"/>
        </w:rPr>
      </w:pPr>
      <w:proofErr w:type="gramStart"/>
      <w:r w:rsidRPr="00CB06F3">
        <w:rPr>
          <w:sz w:val="26"/>
          <w:szCs w:val="26"/>
        </w:rPr>
        <w:t xml:space="preserve">Результаты работы предполагается использовать при проектировании  и освоении производства нового класса скоростных судов </w:t>
      </w:r>
      <w:proofErr w:type="spellStart"/>
      <w:r w:rsidRPr="00CB06F3">
        <w:rPr>
          <w:sz w:val="26"/>
          <w:szCs w:val="26"/>
        </w:rPr>
        <w:t>волнопронзающего</w:t>
      </w:r>
      <w:proofErr w:type="spellEnd"/>
      <w:r w:rsidRPr="00CB06F3">
        <w:rPr>
          <w:sz w:val="26"/>
          <w:szCs w:val="26"/>
        </w:rPr>
        <w:t xml:space="preserve"> типа проектов 23250, 23505, 23107 («Сокол») и его модификаций, скоростных судов проектов Стрела-М1, Стрела-М2  </w:t>
      </w:r>
      <w:proofErr w:type="spellStart"/>
      <w:r w:rsidRPr="00CB06F3">
        <w:rPr>
          <w:sz w:val="26"/>
          <w:szCs w:val="26"/>
        </w:rPr>
        <w:t>пассажировместимостью</w:t>
      </w:r>
      <w:proofErr w:type="spellEnd"/>
      <w:r w:rsidRPr="00CB06F3">
        <w:rPr>
          <w:sz w:val="26"/>
          <w:szCs w:val="26"/>
        </w:rPr>
        <w:t xml:space="preserve"> 60 и 120 человек (проектант - ФГУП «Крыловский </w:t>
      </w:r>
      <w:r w:rsidRPr="00CB06F3">
        <w:rPr>
          <w:sz w:val="26"/>
          <w:szCs w:val="26"/>
        </w:rPr>
        <w:lastRenderedPageBreak/>
        <w:t>ГНЦ»),  скоростных судов на подводных крыльях проектов «Комета 120М», «Валдай-45Р», «Циклон 250» (проектант - ОАО «ЦКБ по СПК»).</w:t>
      </w:r>
      <w:proofErr w:type="gramEnd"/>
      <w:r w:rsidRPr="00CB06F3">
        <w:rPr>
          <w:sz w:val="26"/>
          <w:szCs w:val="26"/>
        </w:rPr>
        <w:t xml:space="preserve"> Указанные проекты разрабатываются и планируются к постройке в 2018-2020 </w:t>
      </w:r>
      <w:proofErr w:type="spellStart"/>
      <w:proofErr w:type="gramStart"/>
      <w:r w:rsidRPr="00CB06F3">
        <w:rPr>
          <w:sz w:val="26"/>
          <w:szCs w:val="26"/>
        </w:rPr>
        <w:t>гг</w:t>
      </w:r>
      <w:proofErr w:type="spellEnd"/>
      <w:proofErr w:type="gramEnd"/>
      <w:r w:rsidRPr="00CB06F3">
        <w:rPr>
          <w:sz w:val="26"/>
          <w:szCs w:val="26"/>
        </w:rPr>
        <w:t>, в том числе в рамках государственной программы РФ «Развитие судостроения и  техники для освоения шельфовых месторождений на 2015-2030 годы», и предназначены для эксплуатации на реках Сибири, Дальнего Востока; на Черном море и в Северо-западном регионе.</w:t>
      </w:r>
    </w:p>
    <w:p w:rsidR="00B1238E" w:rsidRPr="00CB06F3" w:rsidRDefault="00B1238E" w:rsidP="00B1238E">
      <w:pPr>
        <w:spacing w:after="120"/>
        <w:jc w:val="both"/>
        <w:rPr>
          <w:sz w:val="26"/>
          <w:szCs w:val="26"/>
        </w:rPr>
      </w:pPr>
      <w:r w:rsidRPr="00CB06F3">
        <w:rPr>
          <w:sz w:val="26"/>
          <w:szCs w:val="26"/>
        </w:rPr>
        <w:t>Разработанные оборудование и технологии сварки будут использованы при модернизации существующих проектов скоростных судов: СВП «Ирбис», СВП «</w:t>
      </w:r>
      <w:proofErr w:type="spellStart"/>
      <w:r w:rsidRPr="00CB06F3">
        <w:rPr>
          <w:sz w:val="26"/>
          <w:szCs w:val="26"/>
        </w:rPr>
        <w:t>Пардус</w:t>
      </w:r>
      <w:proofErr w:type="spellEnd"/>
      <w:r w:rsidRPr="00CB06F3">
        <w:rPr>
          <w:sz w:val="26"/>
          <w:szCs w:val="26"/>
        </w:rPr>
        <w:t>», СВП «А20», СВП «А48»,  А-45, А-145  (разработки ОАО «ЦКБ «Нептун», ООО «СК «</w:t>
      </w:r>
      <w:proofErr w:type="spellStart"/>
      <w:r w:rsidRPr="00CB06F3">
        <w:rPr>
          <w:sz w:val="26"/>
          <w:szCs w:val="26"/>
        </w:rPr>
        <w:t>Аэроход</w:t>
      </w:r>
      <w:proofErr w:type="spellEnd"/>
      <w:r w:rsidRPr="00CB06F3">
        <w:rPr>
          <w:sz w:val="26"/>
          <w:szCs w:val="26"/>
        </w:rPr>
        <w:t>», ОАО «Агат Дизайн Бюро»)</w:t>
      </w:r>
    </w:p>
    <w:p w:rsidR="00B1238E" w:rsidRPr="00CB06F3" w:rsidRDefault="00B1238E" w:rsidP="00B1238E">
      <w:pPr>
        <w:spacing w:after="120"/>
        <w:jc w:val="both"/>
        <w:rPr>
          <w:sz w:val="26"/>
          <w:szCs w:val="26"/>
        </w:rPr>
      </w:pPr>
      <w:r w:rsidRPr="00CB06F3">
        <w:rPr>
          <w:sz w:val="26"/>
          <w:szCs w:val="26"/>
        </w:rPr>
        <w:t>Потенциальные потребители:</w:t>
      </w:r>
    </w:p>
    <w:p w:rsidR="00B1238E" w:rsidRPr="00CB06F3" w:rsidRDefault="00B1238E" w:rsidP="00B1238E">
      <w:pPr>
        <w:spacing w:after="120"/>
        <w:jc w:val="both"/>
        <w:rPr>
          <w:sz w:val="26"/>
          <w:szCs w:val="26"/>
        </w:rPr>
      </w:pPr>
      <w:r w:rsidRPr="00CB06F3">
        <w:rPr>
          <w:sz w:val="26"/>
          <w:szCs w:val="26"/>
        </w:rPr>
        <w:t xml:space="preserve">- КБ-проектанты морской техники - ОАО «Северное ПКБ», ОАО «ЦМКБ «Алмаз»; ОАО «ЦКБ по СПК им. </w:t>
      </w:r>
      <w:proofErr w:type="spellStart"/>
      <w:r w:rsidRPr="00CB06F3">
        <w:rPr>
          <w:sz w:val="26"/>
          <w:szCs w:val="26"/>
        </w:rPr>
        <w:t>Р.Е.Алексеева</w:t>
      </w:r>
      <w:proofErr w:type="spellEnd"/>
      <w:r w:rsidRPr="00CB06F3">
        <w:rPr>
          <w:sz w:val="26"/>
          <w:szCs w:val="26"/>
        </w:rPr>
        <w:t>», ОАО «</w:t>
      </w:r>
      <w:proofErr w:type="spellStart"/>
      <w:r w:rsidRPr="00CB06F3">
        <w:rPr>
          <w:sz w:val="26"/>
          <w:szCs w:val="26"/>
        </w:rPr>
        <w:t>Зеленодольское</w:t>
      </w:r>
      <w:proofErr w:type="spellEnd"/>
      <w:r w:rsidRPr="00CB06F3">
        <w:rPr>
          <w:sz w:val="26"/>
          <w:szCs w:val="26"/>
        </w:rPr>
        <w:t xml:space="preserve"> ПКБ», ОАО «Центральное конструкторское бюро «Рубин», ОАО «ЦКБ «Нептун»</w:t>
      </w:r>
      <w:proofErr w:type="gramStart"/>
      <w:r w:rsidRPr="00CB06F3">
        <w:rPr>
          <w:sz w:val="26"/>
          <w:szCs w:val="26"/>
        </w:rPr>
        <w:t xml:space="preserve"> ,</w:t>
      </w:r>
      <w:proofErr w:type="gramEnd"/>
      <w:r w:rsidRPr="00CB06F3">
        <w:rPr>
          <w:sz w:val="26"/>
          <w:szCs w:val="26"/>
        </w:rPr>
        <w:t xml:space="preserve"> ОАО КБ «Вымпел», ОАО «Инженерный центр судостроения» ФГУП «Крыловский государственный научный центр» и др.;  </w:t>
      </w:r>
    </w:p>
    <w:p w:rsidR="00B1238E" w:rsidRPr="00CB06F3" w:rsidRDefault="00B1238E" w:rsidP="00B1238E">
      <w:pPr>
        <w:spacing w:after="120"/>
        <w:jc w:val="both"/>
        <w:rPr>
          <w:sz w:val="26"/>
          <w:szCs w:val="26"/>
        </w:rPr>
      </w:pPr>
      <w:proofErr w:type="gramStart"/>
      <w:r w:rsidRPr="00CB06F3">
        <w:rPr>
          <w:sz w:val="26"/>
          <w:szCs w:val="26"/>
        </w:rPr>
        <w:t>- заводы-строители судов и морской техники - АО «Судостроительный завод «Вымпел», ОАО «Завод Нижегородский Теплоход», ОАО «Дальневосточный завод «Звезда», ОАО «</w:t>
      </w:r>
      <w:proofErr w:type="spellStart"/>
      <w:r w:rsidRPr="00CB06F3">
        <w:rPr>
          <w:sz w:val="26"/>
          <w:szCs w:val="26"/>
        </w:rPr>
        <w:t>Зеленодольский</w:t>
      </w:r>
      <w:proofErr w:type="spellEnd"/>
      <w:r w:rsidRPr="00CB06F3">
        <w:rPr>
          <w:sz w:val="26"/>
          <w:szCs w:val="26"/>
        </w:rPr>
        <w:t xml:space="preserve"> завод им. А.М. Горького», ОАО «Судостроительный завод «Северная верфь», ОАО «Ямал СПГ», ОАО «Ярославский судостроительный завод», ОАО «Морской завод «Алмаз», ОАО «Феодосийская судостроительная компания «Море», ОАО «Судостроительный завод «Волга», АО «Прибалтийский судостроительный завод «Янтарь», ООО «</w:t>
      </w:r>
      <w:proofErr w:type="spellStart"/>
      <w:r w:rsidRPr="00CB06F3">
        <w:rPr>
          <w:sz w:val="26"/>
          <w:szCs w:val="26"/>
        </w:rPr>
        <w:t>Мнев</w:t>
      </w:r>
      <w:proofErr w:type="spellEnd"/>
      <w:r w:rsidRPr="00CB06F3">
        <w:rPr>
          <w:sz w:val="26"/>
          <w:szCs w:val="26"/>
        </w:rPr>
        <w:t xml:space="preserve"> и Ко», ООО «Беркут-Марин</w:t>
      </w:r>
      <w:proofErr w:type="gramEnd"/>
      <w:r w:rsidRPr="00CB06F3">
        <w:rPr>
          <w:sz w:val="26"/>
          <w:szCs w:val="26"/>
        </w:rPr>
        <w:t>» и др.;</w:t>
      </w:r>
    </w:p>
    <w:p w:rsidR="00E5314D" w:rsidRPr="00CB06F3" w:rsidRDefault="00E5314D" w:rsidP="00CB06F3">
      <w:pPr>
        <w:spacing w:before="240" w:after="120"/>
        <w:rPr>
          <w:b/>
          <w:sz w:val="26"/>
          <w:szCs w:val="26"/>
          <w:u w:val="single"/>
        </w:rPr>
      </w:pPr>
      <w:r w:rsidRPr="00CB06F3">
        <w:rPr>
          <w:b/>
          <w:sz w:val="26"/>
          <w:szCs w:val="26"/>
          <w:u w:val="single"/>
        </w:rPr>
        <w:t>Сведения о конкурент</w:t>
      </w:r>
      <w:r w:rsidR="00BF4238" w:rsidRPr="00CB06F3">
        <w:rPr>
          <w:b/>
          <w:sz w:val="26"/>
          <w:szCs w:val="26"/>
          <w:u w:val="single"/>
        </w:rPr>
        <w:t>оспособности</w:t>
      </w:r>
      <w:r w:rsidRPr="00CB06F3">
        <w:rPr>
          <w:b/>
          <w:sz w:val="26"/>
          <w:szCs w:val="26"/>
          <w:u w:val="single"/>
        </w:rPr>
        <w:t xml:space="preserve"> и возможности замещения импорта.</w:t>
      </w:r>
    </w:p>
    <w:p w:rsidR="00B34C10" w:rsidRPr="00CB06F3" w:rsidRDefault="00B1238E" w:rsidP="00E5314D">
      <w:pPr>
        <w:spacing w:after="120"/>
        <w:rPr>
          <w:sz w:val="26"/>
          <w:szCs w:val="26"/>
        </w:rPr>
      </w:pPr>
      <w:r w:rsidRPr="00CB06F3">
        <w:rPr>
          <w:sz w:val="26"/>
          <w:szCs w:val="26"/>
        </w:rPr>
        <w:t>Аналогов нет.</w:t>
      </w:r>
    </w:p>
    <w:p w:rsidR="00B1238E" w:rsidRPr="00CB06F3" w:rsidRDefault="00B34C10" w:rsidP="00B1238E">
      <w:pPr>
        <w:spacing w:after="120"/>
        <w:rPr>
          <w:b/>
          <w:sz w:val="26"/>
          <w:szCs w:val="26"/>
          <w:u w:val="single"/>
        </w:rPr>
      </w:pPr>
      <w:r w:rsidRPr="00CB06F3">
        <w:rPr>
          <w:b/>
          <w:sz w:val="26"/>
          <w:szCs w:val="26"/>
          <w:u w:val="single"/>
        </w:rPr>
        <w:t>Практическое внедрение</w:t>
      </w:r>
      <w:r w:rsidR="00CB06F3">
        <w:rPr>
          <w:b/>
          <w:sz w:val="26"/>
          <w:szCs w:val="26"/>
          <w:u w:val="single"/>
        </w:rPr>
        <w:t>.</w:t>
      </w:r>
    </w:p>
    <w:p w:rsidR="00E5314D" w:rsidRPr="00CB06F3" w:rsidRDefault="00B1238E" w:rsidP="00B1238E">
      <w:pPr>
        <w:spacing w:after="120"/>
        <w:jc w:val="both"/>
        <w:rPr>
          <w:b/>
          <w:sz w:val="26"/>
          <w:szCs w:val="26"/>
          <w:u w:val="single"/>
        </w:rPr>
      </w:pPr>
      <w:r w:rsidRPr="00CB06F3">
        <w:rPr>
          <w:sz w:val="26"/>
          <w:szCs w:val="26"/>
        </w:rPr>
        <w:t>Практическое внедрение разработанных технологий предполагается проводить в условиях опытного производства НИЦ «Курчатовский институт» - ЦНИИ КМ «Прометей» в 2018-2019гг.</w:t>
      </w:r>
    </w:p>
    <w:p w:rsidR="00AD728D" w:rsidRPr="00CB06F3" w:rsidRDefault="00AD728D">
      <w:pPr>
        <w:rPr>
          <w:sz w:val="26"/>
          <w:szCs w:val="26"/>
        </w:rPr>
      </w:pPr>
    </w:p>
    <w:sectPr w:rsidR="00AD728D" w:rsidRPr="00CB06F3" w:rsidSect="001D65B2">
      <w:footerReference w:type="default" r:id="rId11"/>
      <w:pgSz w:w="11906" w:h="16838"/>
      <w:pgMar w:top="851" w:right="680" w:bottom="851"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5B2" w:rsidRDefault="001D65B2" w:rsidP="001D65B2">
      <w:r>
        <w:separator/>
      </w:r>
    </w:p>
  </w:endnote>
  <w:endnote w:type="continuationSeparator" w:id="0">
    <w:p w:rsidR="001D65B2" w:rsidRDefault="001D65B2" w:rsidP="001D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927609"/>
      <w:docPartObj>
        <w:docPartGallery w:val="Page Numbers (Bottom of Page)"/>
        <w:docPartUnique/>
      </w:docPartObj>
    </w:sdtPr>
    <w:sdtContent>
      <w:p w:rsidR="001D65B2" w:rsidRDefault="001D65B2" w:rsidP="001D65B2">
        <w:pPr>
          <w:pStyle w:val="ab"/>
          <w:jc w:val="right"/>
        </w:pPr>
        <w:r>
          <w:fldChar w:fldCharType="begin"/>
        </w:r>
        <w:r>
          <w:instrText>PAGE   \* MERGEFORMAT</w:instrText>
        </w:r>
        <w:r>
          <w:fldChar w:fldCharType="separate"/>
        </w:r>
        <w:r>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5B2" w:rsidRDefault="001D65B2" w:rsidP="001D65B2">
      <w:r>
        <w:separator/>
      </w:r>
    </w:p>
  </w:footnote>
  <w:footnote w:type="continuationSeparator" w:id="0">
    <w:p w:rsidR="001D65B2" w:rsidRDefault="001D65B2" w:rsidP="001D6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16902"/>
    <w:multiLevelType w:val="hybridMultilevel"/>
    <w:tmpl w:val="76400ACE"/>
    <w:lvl w:ilvl="0" w:tplc="1AEAD82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
    <w:nsid w:val="33B555D5"/>
    <w:multiLevelType w:val="hybridMultilevel"/>
    <w:tmpl w:val="3AF66136"/>
    <w:lvl w:ilvl="0" w:tplc="FFFFFFFF">
      <w:start w:val="1"/>
      <w:numFmt w:val="bullet"/>
      <w:lvlText w:val=""/>
      <w:lvlJc w:val="left"/>
      <w:pPr>
        <w:ind w:left="502" w:hanging="360"/>
      </w:pPr>
      <w:rPr>
        <w:rFonts w:ascii="Symbol" w:hAnsi="Symbol" w:hint="default"/>
      </w:rPr>
    </w:lvl>
    <w:lvl w:ilvl="1" w:tplc="8070DA46">
      <w:start w:val="1"/>
      <w:numFmt w:val="bullet"/>
      <w:lvlText w:val="­"/>
      <w:lvlJc w:val="left"/>
      <w:pPr>
        <w:tabs>
          <w:tab w:val="num" w:pos="1211"/>
        </w:tabs>
        <w:ind w:left="1211"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6D2B672F"/>
    <w:multiLevelType w:val="multilevel"/>
    <w:tmpl w:val="699E48F4"/>
    <w:lvl w:ilvl="0">
      <w:start w:val="1"/>
      <w:numFmt w:val="decimal"/>
      <w:lvlText w:val="%1."/>
      <w:lvlJc w:val="left"/>
      <w:pPr>
        <w:tabs>
          <w:tab w:val="num" w:pos="360"/>
        </w:tabs>
        <w:ind w:left="360" w:hanging="360"/>
      </w:pPr>
      <w:rPr>
        <w:rFonts w:hint="default"/>
      </w:rPr>
    </w:lvl>
    <w:lvl w:ilvl="1">
      <w:start w:val="65535"/>
      <w:numFmt w:val="bullet"/>
      <w:lvlText w:val="‒"/>
      <w:lvlJc w:val="left"/>
      <w:pPr>
        <w:tabs>
          <w:tab w:val="num" w:pos="792"/>
        </w:tabs>
        <w:ind w:left="792" w:hanging="432"/>
      </w:pPr>
      <w:rPr>
        <w:rFonts w:ascii="Times New Roman" w:hAnsi="Times New Roman" w:cs="Times New Roman"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F39F6"/>
    <w:rsid w:val="00144004"/>
    <w:rsid w:val="001D65B2"/>
    <w:rsid w:val="002C1365"/>
    <w:rsid w:val="00334A47"/>
    <w:rsid w:val="007D4D25"/>
    <w:rsid w:val="00AD728D"/>
    <w:rsid w:val="00AF39F6"/>
    <w:rsid w:val="00B1238E"/>
    <w:rsid w:val="00B239CF"/>
    <w:rsid w:val="00B34C10"/>
    <w:rsid w:val="00BF4238"/>
    <w:rsid w:val="00CB06F3"/>
    <w:rsid w:val="00E5314D"/>
    <w:rsid w:val="00EB75FB"/>
    <w:rsid w:val="00F616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9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E5314D"/>
    <w:pPr>
      <w:shd w:val="clear" w:color="auto" w:fill="FFFFFF"/>
      <w:spacing w:before="120"/>
    </w:pPr>
    <w:rPr>
      <w:szCs w:val="28"/>
    </w:rPr>
  </w:style>
  <w:style w:type="character" w:customStyle="1" w:styleId="20">
    <w:name w:val="Основной текст 2 Знак"/>
    <w:basedOn w:val="a0"/>
    <w:link w:val="2"/>
    <w:uiPriority w:val="99"/>
    <w:rsid w:val="00E5314D"/>
    <w:rPr>
      <w:rFonts w:ascii="Times New Roman" w:eastAsia="Times New Roman" w:hAnsi="Times New Roman" w:cs="Times New Roman"/>
      <w:sz w:val="24"/>
      <w:szCs w:val="28"/>
      <w:shd w:val="clear" w:color="auto" w:fill="FFFFFF"/>
      <w:lang w:eastAsia="ru-RU"/>
    </w:rPr>
  </w:style>
  <w:style w:type="paragraph" w:styleId="a3">
    <w:name w:val="Body Text"/>
    <w:basedOn w:val="a"/>
    <w:link w:val="a4"/>
    <w:uiPriority w:val="99"/>
    <w:rsid w:val="00E5314D"/>
    <w:pPr>
      <w:spacing w:after="120"/>
    </w:pPr>
  </w:style>
  <w:style w:type="character" w:customStyle="1" w:styleId="a4">
    <w:name w:val="Основной текст Знак"/>
    <w:basedOn w:val="a0"/>
    <w:link w:val="a3"/>
    <w:uiPriority w:val="99"/>
    <w:rsid w:val="00E5314D"/>
    <w:rPr>
      <w:rFonts w:ascii="Times New Roman" w:eastAsia="Times New Roman" w:hAnsi="Times New Roman" w:cs="Times New Roman"/>
      <w:sz w:val="24"/>
      <w:szCs w:val="24"/>
      <w:lang w:eastAsia="ru-RU"/>
    </w:rPr>
  </w:style>
  <w:style w:type="paragraph" w:styleId="a5">
    <w:name w:val="List Paragraph"/>
    <w:basedOn w:val="a"/>
    <w:uiPriority w:val="34"/>
    <w:qFormat/>
    <w:rsid w:val="00E5314D"/>
    <w:pPr>
      <w:ind w:left="720"/>
      <w:contextualSpacing/>
    </w:pPr>
  </w:style>
  <w:style w:type="paragraph" w:styleId="a6">
    <w:name w:val="Balloon Text"/>
    <w:basedOn w:val="a"/>
    <w:link w:val="a7"/>
    <w:uiPriority w:val="99"/>
    <w:semiHidden/>
    <w:unhideWhenUsed/>
    <w:rsid w:val="00F6161D"/>
    <w:rPr>
      <w:rFonts w:ascii="Tahoma" w:hAnsi="Tahoma" w:cs="Tahoma"/>
      <w:sz w:val="16"/>
      <w:szCs w:val="16"/>
    </w:rPr>
  </w:style>
  <w:style w:type="character" w:customStyle="1" w:styleId="a7">
    <w:name w:val="Текст выноски Знак"/>
    <w:basedOn w:val="a0"/>
    <w:link w:val="a6"/>
    <w:uiPriority w:val="99"/>
    <w:semiHidden/>
    <w:rsid w:val="00F6161D"/>
    <w:rPr>
      <w:rFonts w:ascii="Tahoma" w:eastAsia="Times New Roman" w:hAnsi="Tahoma" w:cs="Tahoma"/>
      <w:sz w:val="16"/>
      <w:szCs w:val="16"/>
      <w:lang w:eastAsia="ru-RU"/>
    </w:rPr>
  </w:style>
  <w:style w:type="table" w:styleId="a8">
    <w:name w:val="Table Grid"/>
    <w:basedOn w:val="a1"/>
    <w:uiPriority w:val="59"/>
    <w:rsid w:val="00F616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1D65B2"/>
    <w:pPr>
      <w:tabs>
        <w:tab w:val="center" w:pos="4677"/>
        <w:tab w:val="right" w:pos="9355"/>
      </w:tabs>
    </w:pPr>
  </w:style>
  <w:style w:type="character" w:customStyle="1" w:styleId="aa">
    <w:name w:val="Верхний колонтитул Знак"/>
    <w:basedOn w:val="a0"/>
    <w:link w:val="a9"/>
    <w:uiPriority w:val="99"/>
    <w:rsid w:val="001D65B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D65B2"/>
    <w:pPr>
      <w:tabs>
        <w:tab w:val="center" w:pos="4677"/>
        <w:tab w:val="right" w:pos="9355"/>
      </w:tabs>
    </w:pPr>
  </w:style>
  <w:style w:type="character" w:customStyle="1" w:styleId="ac">
    <w:name w:val="Нижний колонтитул Знак"/>
    <w:basedOn w:val="a0"/>
    <w:link w:val="ab"/>
    <w:uiPriority w:val="99"/>
    <w:rsid w:val="001D65B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9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E5314D"/>
    <w:pPr>
      <w:shd w:val="clear" w:color="auto" w:fill="FFFFFF"/>
      <w:spacing w:before="120"/>
    </w:pPr>
    <w:rPr>
      <w:szCs w:val="28"/>
    </w:rPr>
  </w:style>
  <w:style w:type="character" w:customStyle="1" w:styleId="20">
    <w:name w:val="Основной текст 2 Знак"/>
    <w:basedOn w:val="a0"/>
    <w:link w:val="2"/>
    <w:uiPriority w:val="99"/>
    <w:rsid w:val="00E5314D"/>
    <w:rPr>
      <w:rFonts w:ascii="Times New Roman" w:eastAsia="Times New Roman" w:hAnsi="Times New Roman" w:cs="Times New Roman"/>
      <w:sz w:val="24"/>
      <w:szCs w:val="28"/>
      <w:shd w:val="clear" w:color="auto" w:fill="FFFFFF"/>
      <w:lang w:eastAsia="ru-RU"/>
    </w:rPr>
  </w:style>
  <w:style w:type="paragraph" w:styleId="a3">
    <w:name w:val="Body Text"/>
    <w:basedOn w:val="a"/>
    <w:link w:val="a4"/>
    <w:uiPriority w:val="99"/>
    <w:rsid w:val="00E5314D"/>
    <w:pPr>
      <w:spacing w:after="120"/>
    </w:pPr>
  </w:style>
  <w:style w:type="character" w:customStyle="1" w:styleId="a4">
    <w:name w:val="Основной текст Знак"/>
    <w:basedOn w:val="a0"/>
    <w:link w:val="a3"/>
    <w:uiPriority w:val="99"/>
    <w:rsid w:val="00E5314D"/>
    <w:rPr>
      <w:rFonts w:ascii="Times New Roman" w:eastAsia="Times New Roman" w:hAnsi="Times New Roman" w:cs="Times New Roman"/>
      <w:sz w:val="24"/>
      <w:szCs w:val="24"/>
      <w:lang w:eastAsia="ru-RU"/>
    </w:rPr>
  </w:style>
  <w:style w:type="paragraph" w:styleId="a5">
    <w:name w:val="List Paragraph"/>
    <w:basedOn w:val="a"/>
    <w:uiPriority w:val="34"/>
    <w:qFormat/>
    <w:rsid w:val="00E53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92557">
      <w:bodyDiv w:val="1"/>
      <w:marLeft w:val="0"/>
      <w:marRight w:val="0"/>
      <w:marTop w:val="0"/>
      <w:marBottom w:val="0"/>
      <w:divBdr>
        <w:top w:val="none" w:sz="0" w:space="0" w:color="auto"/>
        <w:left w:val="none" w:sz="0" w:space="0" w:color="auto"/>
        <w:bottom w:val="none" w:sz="0" w:space="0" w:color="auto"/>
        <w:right w:val="none" w:sz="0" w:space="0" w:color="auto"/>
      </w:divBdr>
    </w:div>
    <w:div w:id="302000850">
      <w:bodyDiv w:val="1"/>
      <w:marLeft w:val="0"/>
      <w:marRight w:val="0"/>
      <w:marTop w:val="0"/>
      <w:marBottom w:val="0"/>
      <w:divBdr>
        <w:top w:val="none" w:sz="0" w:space="0" w:color="auto"/>
        <w:left w:val="none" w:sz="0" w:space="0" w:color="auto"/>
        <w:bottom w:val="none" w:sz="0" w:space="0" w:color="auto"/>
        <w:right w:val="none" w:sz="0" w:space="0" w:color="auto"/>
      </w:divBdr>
    </w:div>
    <w:div w:id="657727437">
      <w:bodyDiv w:val="1"/>
      <w:marLeft w:val="0"/>
      <w:marRight w:val="0"/>
      <w:marTop w:val="0"/>
      <w:marBottom w:val="0"/>
      <w:divBdr>
        <w:top w:val="none" w:sz="0" w:space="0" w:color="auto"/>
        <w:left w:val="none" w:sz="0" w:space="0" w:color="auto"/>
        <w:bottom w:val="none" w:sz="0" w:space="0" w:color="auto"/>
        <w:right w:val="none" w:sz="0" w:space="0" w:color="auto"/>
      </w:divBdr>
    </w:div>
    <w:div w:id="73670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498</Words>
  <Characters>2842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5</cp:revision>
  <cp:lastPrinted>2017-11-27T10:51:00Z</cp:lastPrinted>
  <dcterms:created xsi:type="dcterms:W3CDTF">2017-11-27T07:58:00Z</dcterms:created>
  <dcterms:modified xsi:type="dcterms:W3CDTF">2017-11-27T10:52:00Z</dcterms:modified>
</cp:coreProperties>
</file>