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1B" w:rsidRPr="008269FF" w:rsidRDefault="00371E1B" w:rsidP="007308C2">
      <w:pPr>
        <w:ind w:left="3828"/>
        <w:jc w:val="right"/>
        <w:rPr>
          <w:i/>
          <w:color w:val="0000FF"/>
          <w:sz w:val="28"/>
          <w:szCs w:val="28"/>
        </w:rPr>
      </w:pPr>
      <w:r w:rsidRPr="008269FF">
        <w:rPr>
          <w:i/>
          <w:color w:val="0000FF"/>
          <w:sz w:val="28"/>
          <w:szCs w:val="28"/>
        </w:rPr>
        <w:t>Государственная программа Российской Федерации</w:t>
      </w:r>
    </w:p>
    <w:p w:rsidR="00E174EC" w:rsidRPr="008269FF" w:rsidRDefault="00E174EC" w:rsidP="007308C2">
      <w:pPr>
        <w:ind w:left="3828"/>
        <w:jc w:val="right"/>
        <w:rPr>
          <w:bCs/>
          <w:i/>
          <w:color w:val="0000FF"/>
          <w:sz w:val="28"/>
          <w:szCs w:val="28"/>
        </w:rPr>
      </w:pPr>
      <w:r w:rsidRPr="008269FF">
        <w:rPr>
          <w:bCs/>
          <w:i/>
          <w:color w:val="0000FF"/>
          <w:sz w:val="28"/>
          <w:szCs w:val="28"/>
        </w:rPr>
        <w:t xml:space="preserve">«Развитие судостроения и техники для освоения шельфовых месторождений </w:t>
      </w:r>
      <w:r w:rsidRPr="008269FF">
        <w:rPr>
          <w:bCs/>
          <w:i/>
          <w:color w:val="0000FF"/>
          <w:sz w:val="28"/>
          <w:szCs w:val="28"/>
        </w:rPr>
        <w:br/>
        <w:t>на 2013 – 2030 годы»</w:t>
      </w:r>
    </w:p>
    <w:p w:rsidR="00371E1B" w:rsidRPr="008269FF" w:rsidRDefault="00371E1B" w:rsidP="007308C2">
      <w:pPr>
        <w:ind w:left="3828"/>
        <w:jc w:val="right"/>
        <w:rPr>
          <w:bCs/>
          <w:i/>
          <w:color w:val="0000FF"/>
          <w:sz w:val="28"/>
          <w:szCs w:val="28"/>
        </w:rPr>
      </w:pPr>
    </w:p>
    <w:p w:rsidR="007308C2" w:rsidRPr="007308C2" w:rsidRDefault="007308C2" w:rsidP="007308C2">
      <w:pPr>
        <w:jc w:val="right"/>
        <w:rPr>
          <w:i/>
          <w:color w:val="0000FF"/>
          <w:sz w:val="28"/>
          <w:szCs w:val="28"/>
        </w:rPr>
      </w:pPr>
      <w:r w:rsidRPr="007308C2">
        <w:rPr>
          <w:i/>
          <w:color w:val="0000FF"/>
          <w:sz w:val="28"/>
          <w:szCs w:val="28"/>
        </w:rPr>
        <w:t>Подпрограмма 1.</w:t>
      </w:r>
    </w:p>
    <w:p w:rsidR="007308C2" w:rsidRPr="007308C2" w:rsidRDefault="007308C2" w:rsidP="007308C2">
      <w:pPr>
        <w:jc w:val="right"/>
        <w:rPr>
          <w:i/>
          <w:color w:val="0000FF"/>
          <w:sz w:val="28"/>
          <w:szCs w:val="28"/>
        </w:rPr>
      </w:pPr>
      <w:r w:rsidRPr="007308C2">
        <w:rPr>
          <w:i/>
          <w:color w:val="0000FF"/>
          <w:sz w:val="28"/>
          <w:szCs w:val="28"/>
        </w:rPr>
        <w:t>3 направление «Новый облик. Научный задел»</w:t>
      </w:r>
    </w:p>
    <w:p w:rsidR="00E174EC" w:rsidRDefault="00E174EC" w:rsidP="007308C2">
      <w:pPr>
        <w:ind w:left="3969"/>
        <w:jc w:val="right"/>
        <w:rPr>
          <w:bCs/>
        </w:rPr>
      </w:pPr>
    </w:p>
    <w:p w:rsidR="00E174EC" w:rsidRPr="000D7B70" w:rsidRDefault="00E174EC" w:rsidP="000D7B70">
      <w:pPr>
        <w:ind w:left="708"/>
        <w:outlineLvl w:val="0"/>
        <w:rPr>
          <w:b/>
          <w:i/>
          <w:sz w:val="26"/>
          <w:szCs w:val="26"/>
          <w:u w:val="single"/>
        </w:rPr>
      </w:pPr>
      <w:proofErr w:type="gramStart"/>
      <w:r w:rsidRPr="000D7B70">
        <w:rPr>
          <w:b/>
          <w:i/>
          <w:sz w:val="26"/>
          <w:szCs w:val="26"/>
          <w:u w:val="single"/>
        </w:rPr>
        <w:t>ОКР</w:t>
      </w:r>
      <w:proofErr w:type="gramEnd"/>
      <w:r w:rsidRPr="000D7B70">
        <w:rPr>
          <w:b/>
          <w:i/>
          <w:sz w:val="26"/>
          <w:szCs w:val="26"/>
          <w:u w:val="single"/>
        </w:rPr>
        <w:t xml:space="preserve"> «ГАСВП – Ямбург»</w:t>
      </w:r>
    </w:p>
    <w:p w:rsidR="00E174EC" w:rsidRPr="000D7B70" w:rsidRDefault="00E174EC" w:rsidP="007308C2">
      <w:pPr>
        <w:spacing w:before="120"/>
        <w:jc w:val="both"/>
        <w:rPr>
          <w:i/>
          <w:color w:val="000000"/>
          <w:sz w:val="26"/>
          <w:szCs w:val="26"/>
        </w:rPr>
      </w:pPr>
      <w:r w:rsidRPr="000D7B70">
        <w:rPr>
          <w:i/>
          <w:color w:val="000000"/>
          <w:sz w:val="26"/>
          <w:szCs w:val="26"/>
        </w:rPr>
        <w:t>«Разработка технического проекта и проведение опытно-конструкторских работ в обеспечение создания амфибийного судна на воздушной подушке грузоподъемностью 60 тонн для работы на арктическом шельфе»</w:t>
      </w:r>
    </w:p>
    <w:p w:rsidR="00E174EC" w:rsidRPr="000D7B70" w:rsidRDefault="00E174EC" w:rsidP="007308C2">
      <w:pPr>
        <w:pStyle w:val="21"/>
        <w:ind w:left="357"/>
        <w:jc w:val="right"/>
        <w:outlineLvl w:val="0"/>
        <w:rPr>
          <w:i/>
          <w:color w:val="000000"/>
          <w:sz w:val="26"/>
          <w:szCs w:val="26"/>
        </w:rPr>
      </w:pPr>
      <w:r w:rsidRPr="000D7B70">
        <w:rPr>
          <w:b/>
          <w:i/>
          <w:sz w:val="26"/>
          <w:szCs w:val="26"/>
        </w:rPr>
        <w:t>Головной исполнитель – ООО СК «АЭРОХОД»</w:t>
      </w:r>
    </w:p>
    <w:p w:rsidR="00E174EC" w:rsidRPr="000D7B70" w:rsidRDefault="00E174EC" w:rsidP="000D7B70">
      <w:pPr>
        <w:spacing w:before="120" w:after="120"/>
        <w:ind w:firstLine="992"/>
        <w:outlineLvl w:val="0"/>
        <w:rPr>
          <w:b/>
          <w:sz w:val="26"/>
          <w:szCs w:val="26"/>
          <w:u w:val="single"/>
        </w:rPr>
      </w:pPr>
      <w:r w:rsidRPr="000D7B70">
        <w:rPr>
          <w:b/>
          <w:sz w:val="26"/>
          <w:szCs w:val="26"/>
          <w:u w:val="single"/>
        </w:rPr>
        <w:t xml:space="preserve">Основные полученные </w:t>
      </w:r>
      <w:r w:rsidR="00E65087" w:rsidRPr="000D7B70">
        <w:rPr>
          <w:b/>
          <w:sz w:val="26"/>
          <w:szCs w:val="26"/>
          <w:u w:val="single"/>
        </w:rPr>
        <w:t>практические результаты</w:t>
      </w:r>
    </w:p>
    <w:p w:rsidR="004E391B" w:rsidRPr="004E391B" w:rsidRDefault="004E391B" w:rsidP="007308C2">
      <w:pPr>
        <w:ind w:firstLine="993"/>
        <w:jc w:val="both"/>
        <w:rPr>
          <w:u w:val="single"/>
        </w:rPr>
      </w:pPr>
      <w:r w:rsidRPr="004E391B">
        <w:rPr>
          <w:u w:val="single"/>
        </w:rPr>
        <w:t xml:space="preserve">1.На первом этапе </w:t>
      </w:r>
      <w:proofErr w:type="gramStart"/>
      <w:r w:rsidRPr="004E391B">
        <w:rPr>
          <w:u w:val="single"/>
        </w:rPr>
        <w:t>ОКР</w:t>
      </w:r>
      <w:proofErr w:type="gramEnd"/>
      <w:r w:rsidRPr="004E391B">
        <w:rPr>
          <w:u w:val="single"/>
        </w:rPr>
        <w:t xml:space="preserve"> :</w:t>
      </w:r>
    </w:p>
    <w:p w:rsidR="00272B85" w:rsidRPr="004E391B" w:rsidRDefault="001E6430" w:rsidP="007308C2">
      <w:pPr>
        <w:numPr>
          <w:ilvl w:val="2"/>
          <w:numId w:val="11"/>
        </w:numPr>
        <w:tabs>
          <w:tab w:val="clear" w:pos="2160"/>
          <w:tab w:val="num" w:pos="1276"/>
        </w:tabs>
        <w:ind w:left="0" w:firstLine="851"/>
        <w:jc w:val="both"/>
      </w:pPr>
      <w:r w:rsidRPr="004E391B">
        <w:t xml:space="preserve">  проведена проектно-конструкторская проработка в объеме </w:t>
      </w:r>
      <w:r w:rsidRPr="004E391B">
        <w:rPr>
          <w:b/>
          <w:bCs/>
        </w:rPr>
        <w:t xml:space="preserve">технического предложения </w:t>
      </w:r>
      <w:r w:rsidRPr="004E391B">
        <w:t xml:space="preserve">с выбором </w:t>
      </w:r>
      <w:r w:rsidRPr="004E391B">
        <w:rPr>
          <w:b/>
          <w:bCs/>
        </w:rPr>
        <w:t xml:space="preserve">варианта компоновочного решения АСВП </w:t>
      </w:r>
      <w:r w:rsidRPr="004E391B">
        <w:t xml:space="preserve">с ГО </w:t>
      </w:r>
      <w:proofErr w:type="spellStart"/>
      <w:r w:rsidRPr="004E391B">
        <w:t>баллонетного</w:t>
      </w:r>
      <w:proofErr w:type="spellEnd"/>
      <w:r w:rsidRPr="004E391B">
        <w:t xml:space="preserve"> типа грузоподъемностью  с учетом особенностей эксплуатации в ледовых условиях; </w:t>
      </w:r>
    </w:p>
    <w:p w:rsidR="00272B85" w:rsidRPr="004E391B" w:rsidRDefault="001E6430" w:rsidP="007308C2">
      <w:pPr>
        <w:numPr>
          <w:ilvl w:val="2"/>
          <w:numId w:val="11"/>
        </w:numPr>
        <w:tabs>
          <w:tab w:val="clear" w:pos="2160"/>
          <w:tab w:val="num" w:pos="1276"/>
        </w:tabs>
        <w:ind w:left="0" w:firstLine="851"/>
        <w:jc w:val="both"/>
      </w:pPr>
      <w:r w:rsidRPr="004E391B">
        <w:t xml:space="preserve">  выбран </w:t>
      </w:r>
      <w:r w:rsidRPr="004E391B">
        <w:rPr>
          <w:b/>
          <w:bCs/>
        </w:rPr>
        <w:t xml:space="preserve">вариант схемы ГО </w:t>
      </w:r>
      <w:proofErr w:type="spellStart"/>
      <w:r w:rsidRPr="004E391B">
        <w:t>баллонетного</w:t>
      </w:r>
      <w:proofErr w:type="spellEnd"/>
      <w:r w:rsidRPr="004E391B">
        <w:t xml:space="preserve"> типа и сформированы </w:t>
      </w:r>
      <w:r w:rsidRPr="004E391B">
        <w:rPr>
          <w:b/>
          <w:bCs/>
        </w:rPr>
        <w:t xml:space="preserve">требования к материалам ГО </w:t>
      </w:r>
      <w:proofErr w:type="spellStart"/>
      <w:r w:rsidRPr="004E391B">
        <w:t>баллонетного</w:t>
      </w:r>
      <w:proofErr w:type="spellEnd"/>
      <w:r w:rsidRPr="004E391B">
        <w:t xml:space="preserve"> типа; </w:t>
      </w:r>
    </w:p>
    <w:p w:rsidR="00272B85" w:rsidRPr="004E391B" w:rsidRDefault="001E6430" w:rsidP="007308C2">
      <w:pPr>
        <w:numPr>
          <w:ilvl w:val="2"/>
          <w:numId w:val="11"/>
        </w:numPr>
        <w:tabs>
          <w:tab w:val="clear" w:pos="2160"/>
          <w:tab w:val="num" w:pos="1276"/>
        </w:tabs>
        <w:ind w:left="0" w:firstLine="851"/>
        <w:jc w:val="both"/>
      </w:pPr>
      <w:r w:rsidRPr="004E391B">
        <w:t xml:space="preserve">  проработаны основные вопросы </w:t>
      </w:r>
      <w:r w:rsidRPr="004E391B">
        <w:rPr>
          <w:b/>
          <w:bCs/>
        </w:rPr>
        <w:t xml:space="preserve">технологии изготовления элементов конструкции ГО </w:t>
      </w:r>
      <w:proofErr w:type="spellStart"/>
      <w:r w:rsidRPr="004E391B">
        <w:t>баллонетного</w:t>
      </w:r>
      <w:proofErr w:type="spellEnd"/>
      <w:r w:rsidRPr="004E391B">
        <w:t xml:space="preserve"> типа; </w:t>
      </w:r>
    </w:p>
    <w:p w:rsidR="00272B85" w:rsidRPr="004E391B" w:rsidRDefault="001E6430" w:rsidP="007308C2">
      <w:pPr>
        <w:numPr>
          <w:ilvl w:val="2"/>
          <w:numId w:val="11"/>
        </w:numPr>
        <w:tabs>
          <w:tab w:val="clear" w:pos="2160"/>
          <w:tab w:val="num" w:pos="1276"/>
        </w:tabs>
        <w:ind w:left="0" w:firstLine="851"/>
        <w:jc w:val="both"/>
      </w:pPr>
      <w:r w:rsidRPr="004E391B">
        <w:t xml:space="preserve">  выполнено</w:t>
      </w:r>
      <w:r w:rsidRPr="004E391B">
        <w:rPr>
          <w:b/>
          <w:bCs/>
        </w:rPr>
        <w:t xml:space="preserve"> технико-экономическое обоснование </w:t>
      </w:r>
      <w:r w:rsidRPr="004E391B">
        <w:t xml:space="preserve">создания АСВП с ГО </w:t>
      </w:r>
      <w:proofErr w:type="spellStart"/>
      <w:r w:rsidRPr="004E391B">
        <w:t>баллонетного</w:t>
      </w:r>
      <w:proofErr w:type="spellEnd"/>
      <w:r w:rsidRPr="004E391B">
        <w:t xml:space="preserve"> типа грузоподъемностью  60 тонн.</w:t>
      </w:r>
    </w:p>
    <w:p w:rsidR="004E391B" w:rsidRPr="004E391B" w:rsidRDefault="004E391B" w:rsidP="007308C2">
      <w:pPr>
        <w:ind w:firstLine="993"/>
        <w:jc w:val="both"/>
        <w:rPr>
          <w:u w:val="single"/>
        </w:rPr>
      </w:pPr>
      <w:r w:rsidRPr="004E391B">
        <w:rPr>
          <w:u w:val="single"/>
        </w:rPr>
        <w:t xml:space="preserve">2. На втором </w:t>
      </w:r>
      <w:bookmarkStart w:id="0" w:name="_GoBack"/>
      <w:r w:rsidRPr="004E391B">
        <w:rPr>
          <w:u w:val="single"/>
        </w:rPr>
        <w:t xml:space="preserve">этапе </w:t>
      </w:r>
      <w:bookmarkEnd w:id="0"/>
      <w:r w:rsidRPr="004E391B">
        <w:rPr>
          <w:u w:val="single"/>
        </w:rPr>
        <w:t>ОКР:</w:t>
      </w:r>
    </w:p>
    <w:p w:rsidR="00272B85" w:rsidRPr="004E391B" w:rsidRDefault="001E6430" w:rsidP="007308C2">
      <w:pPr>
        <w:numPr>
          <w:ilvl w:val="2"/>
          <w:numId w:val="11"/>
        </w:numPr>
        <w:tabs>
          <w:tab w:val="clear" w:pos="2160"/>
          <w:tab w:val="num" w:pos="1276"/>
        </w:tabs>
        <w:ind w:left="0" w:firstLine="851"/>
        <w:jc w:val="both"/>
      </w:pPr>
      <w:r w:rsidRPr="004E391B">
        <w:t xml:space="preserve">разработана рабочая конструкторская документация на изготовление стендов для проведения ресурсных испытаний движительно-нагнетательного комплекса в части подъемной  и маршевой силовых установок и стенда ГО; </w:t>
      </w:r>
    </w:p>
    <w:p w:rsidR="00272B85" w:rsidRPr="004E391B" w:rsidRDefault="001E6430" w:rsidP="007308C2">
      <w:pPr>
        <w:numPr>
          <w:ilvl w:val="2"/>
          <w:numId w:val="11"/>
        </w:numPr>
        <w:tabs>
          <w:tab w:val="clear" w:pos="2160"/>
          <w:tab w:val="num" w:pos="1276"/>
        </w:tabs>
        <w:ind w:left="0" w:firstLine="851"/>
        <w:jc w:val="both"/>
      </w:pPr>
      <w:r w:rsidRPr="004E391B">
        <w:t>изготовлены испытательные стенды для проведения ресурсных испытаний движительно-нагнетательного комплекса и гибких ограждений АСВП;</w:t>
      </w:r>
    </w:p>
    <w:p w:rsidR="00272B85" w:rsidRPr="004E391B" w:rsidRDefault="001E6430" w:rsidP="007308C2">
      <w:pPr>
        <w:numPr>
          <w:ilvl w:val="2"/>
          <w:numId w:val="11"/>
        </w:numPr>
        <w:tabs>
          <w:tab w:val="clear" w:pos="2160"/>
          <w:tab w:val="num" w:pos="1276"/>
        </w:tabs>
        <w:ind w:left="0" w:firstLine="851"/>
        <w:jc w:val="both"/>
      </w:pPr>
      <w:r w:rsidRPr="004E391B">
        <w:t xml:space="preserve"> разработаны программы и методики проведения ресурсных испытаний движительно-нагнетательного комплекса и гибкого ограждения </w:t>
      </w:r>
      <w:proofErr w:type="spellStart"/>
      <w:r w:rsidRPr="004E391B">
        <w:t>баллонетного</w:t>
      </w:r>
      <w:proofErr w:type="spellEnd"/>
      <w:r w:rsidRPr="004E391B">
        <w:t xml:space="preserve"> типа. </w:t>
      </w:r>
    </w:p>
    <w:p w:rsidR="004E391B" w:rsidRPr="004E391B" w:rsidRDefault="004E391B" w:rsidP="007308C2">
      <w:pPr>
        <w:ind w:firstLine="993"/>
        <w:jc w:val="both"/>
        <w:rPr>
          <w:u w:val="single"/>
        </w:rPr>
      </w:pPr>
      <w:r w:rsidRPr="004E391B">
        <w:rPr>
          <w:u w:val="single"/>
        </w:rPr>
        <w:t>3. На третьем этапе ОКР:</w:t>
      </w:r>
    </w:p>
    <w:p w:rsidR="00272B85" w:rsidRPr="004E391B" w:rsidRDefault="001E6430" w:rsidP="007308C2">
      <w:pPr>
        <w:numPr>
          <w:ilvl w:val="2"/>
          <w:numId w:val="11"/>
        </w:numPr>
        <w:tabs>
          <w:tab w:val="clear" w:pos="2160"/>
          <w:tab w:val="num" w:pos="1276"/>
        </w:tabs>
        <w:ind w:left="0" w:firstLine="851"/>
        <w:jc w:val="both"/>
      </w:pPr>
      <w:r w:rsidRPr="004E391B">
        <w:t xml:space="preserve">выполнены стендовые ресурсные исследования движительно-нагнетательного комплекса и ГО </w:t>
      </w:r>
      <w:proofErr w:type="spellStart"/>
      <w:r w:rsidRPr="004E391B">
        <w:t>баллонетного</w:t>
      </w:r>
      <w:proofErr w:type="spellEnd"/>
      <w:r w:rsidRPr="004E391B">
        <w:t xml:space="preserve"> типа</w:t>
      </w:r>
      <w:r w:rsidR="004E391B" w:rsidRPr="004E391B">
        <w:t>;</w:t>
      </w:r>
    </w:p>
    <w:p w:rsidR="00272B85" w:rsidRPr="004E391B" w:rsidRDefault="001E6430" w:rsidP="007308C2">
      <w:pPr>
        <w:numPr>
          <w:ilvl w:val="2"/>
          <w:numId w:val="11"/>
        </w:numPr>
        <w:tabs>
          <w:tab w:val="clear" w:pos="2160"/>
          <w:tab w:val="num" w:pos="1276"/>
        </w:tabs>
        <w:ind w:left="0" w:firstLine="851"/>
        <w:jc w:val="both"/>
      </w:pPr>
      <w:r w:rsidRPr="004E391B">
        <w:t xml:space="preserve">разработаны технологии изготовления </w:t>
      </w:r>
      <w:proofErr w:type="spellStart"/>
      <w:r w:rsidRPr="004E391B">
        <w:t>полиуретано</w:t>
      </w:r>
      <w:proofErr w:type="spellEnd"/>
      <w:r w:rsidRPr="004E391B">
        <w:t xml:space="preserve">-тканевого материала для ГО </w:t>
      </w:r>
      <w:proofErr w:type="spellStart"/>
      <w:r w:rsidRPr="004E391B">
        <w:t>баллонетного</w:t>
      </w:r>
      <w:proofErr w:type="spellEnd"/>
      <w:r w:rsidRPr="004E391B">
        <w:t xml:space="preserve"> типа </w:t>
      </w:r>
      <w:proofErr w:type="gramStart"/>
      <w:r w:rsidRPr="004E391B">
        <w:t>для</w:t>
      </w:r>
      <w:proofErr w:type="gramEnd"/>
      <w:r w:rsidRPr="004E391B">
        <w:t xml:space="preserve"> крупнотоннажных АСВП. </w:t>
      </w:r>
    </w:p>
    <w:p w:rsidR="004E391B" w:rsidRPr="004E391B" w:rsidRDefault="004E391B" w:rsidP="007308C2">
      <w:pPr>
        <w:ind w:firstLine="993"/>
        <w:jc w:val="both"/>
        <w:rPr>
          <w:u w:val="single"/>
        </w:rPr>
      </w:pPr>
      <w:r w:rsidRPr="004E391B">
        <w:rPr>
          <w:u w:val="single"/>
        </w:rPr>
        <w:t>4. На четвертом этапе ОКР:</w:t>
      </w:r>
    </w:p>
    <w:p w:rsidR="00272B85" w:rsidRPr="004E391B" w:rsidRDefault="001E6430" w:rsidP="007308C2">
      <w:pPr>
        <w:numPr>
          <w:ilvl w:val="2"/>
          <w:numId w:val="11"/>
        </w:numPr>
        <w:tabs>
          <w:tab w:val="clear" w:pos="2160"/>
          <w:tab w:val="num" w:pos="1276"/>
        </w:tabs>
        <w:ind w:left="0" w:firstLine="851"/>
        <w:jc w:val="both"/>
      </w:pPr>
      <w:r w:rsidRPr="004E391B">
        <w:t xml:space="preserve">разработан технический проект опытного образца АСВП с ГО </w:t>
      </w:r>
      <w:proofErr w:type="spellStart"/>
      <w:r w:rsidRPr="004E391B">
        <w:t>баллонетного</w:t>
      </w:r>
      <w:proofErr w:type="spellEnd"/>
      <w:r w:rsidRPr="004E391B">
        <w:t xml:space="preserve"> типа и проведено его согласование в РМРС.</w:t>
      </w:r>
    </w:p>
    <w:p w:rsidR="004E391B" w:rsidRDefault="004E391B" w:rsidP="007308C2">
      <w:pPr>
        <w:ind w:firstLine="993"/>
        <w:jc w:val="both"/>
        <w:rPr>
          <w:u w:val="single"/>
        </w:rPr>
      </w:pPr>
    </w:p>
    <w:p w:rsidR="00E65087" w:rsidRPr="00E65087" w:rsidRDefault="00E65087" w:rsidP="007308C2">
      <w:pPr>
        <w:ind w:firstLine="993"/>
        <w:jc w:val="both"/>
      </w:pPr>
      <w:r w:rsidRPr="00E65087">
        <w:rPr>
          <w:u w:val="single"/>
        </w:rPr>
        <w:t>Тип судна</w:t>
      </w:r>
      <w:r>
        <w:t xml:space="preserve"> – грузовое </w:t>
      </w:r>
      <w:r w:rsidRPr="00E65087">
        <w:t>амфибийное судно на воздушной подушке с гибким ограждением баллонетного типа.</w:t>
      </w:r>
    </w:p>
    <w:p w:rsidR="00E65087" w:rsidRPr="00E65087" w:rsidRDefault="00E65087" w:rsidP="007308C2">
      <w:pPr>
        <w:ind w:firstLine="993"/>
        <w:jc w:val="both"/>
      </w:pPr>
      <w:r w:rsidRPr="00E65087">
        <w:rPr>
          <w:u w:val="single"/>
        </w:rPr>
        <w:t xml:space="preserve">Назначение </w:t>
      </w:r>
      <w:r w:rsidRPr="00E65087">
        <w:t>– круглогодичные пе</w:t>
      </w:r>
      <w:r>
        <w:t>ревозки тяжелых грузов, техники</w:t>
      </w:r>
      <w:r w:rsidRPr="00E65087">
        <w:t xml:space="preserve"> и промышленного персонала, обслуживающего мо</w:t>
      </w:r>
      <w:r>
        <w:t xml:space="preserve">рские нефтегазовые сооружения, </w:t>
      </w:r>
      <w:r w:rsidRPr="00E65087">
        <w:t>в количестве до 20 человек по воде, суше, льду, в том числе битому и торосящемуся с возможностью выхода судна на необ</w:t>
      </w:r>
      <w:r>
        <w:t>орудованный причалами берег.</w:t>
      </w:r>
    </w:p>
    <w:p w:rsidR="00E65087" w:rsidRPr="00E65087" w:rsidRDefault="00E65087" w:rsidP="007308C2">
      <w:pPr>
        <w:ind w:firstLine="992"/>
        <w:jc w:val="both"/>
        <w:rPr>
          <w:u w:val="single"/>
        </w:rPr>
      </w:pPr>
      <w:r w:rsidRPr="00E65087">
        <w:rPr>
          <w:u w:val="single"/>
        </w:rPr>
        <w:t>Класс судна</w:t>
      </w:r>
      <w:r w:rsidRPr="00E65087">
        <w:t xml:space="preserve"> по классификации Российского Морского Регистра Судоходства (РМРС)  – "КМ </w:t>
      </w:r>
      <w:r w:rsidRPr="00E65087">
        <w:sym w:font="Wingdings" w:char="F0B5"/>
      </w:r>
      <w:r w:rsidR="00740B10" w:rsidRPr="00740B10">
        <w:t>[</w:t>
      </w:r>
      <w:r w:rsidRPr="00E65087">
        <w:t>2</w:t>
      </w:r>
      <w:r w:rsidR="00740B10" w:rsidRPr="00740B10">
        <w:t>]</w:t>
      </w:r>
      <w:r w:rsidRPr="00E65087">
        <w:t xml:space="preserve">  ACV  </w:t>
      </w:r>
      <w:proofErr w:type="spellStart"/>
      <w:r w:rsidRPr="00E65087">
        <w:t>Crewboat</w:t>
      </w:r>
      <w:proofErr w:type="spellEnd"/>
      <w:r w:rsidRPr="00E65087">
        <w:t>».</w:t>
      </w:r>
    </w:p>
    <w:p w:rsidR="007308C2" w:rsidRDefault="007308C2" w:rsidP="007308C2">
      <w:pPr>
        <w:jc w:val="both"/>
        <w:outlineLvl w:val="0"/>
        <w:rPr>
          <w:sz w:val="26"/>
          <w:szCs w:val="26"/>
          <w:u w:val="single"/>
        </w:rPr>
      </w:pPr>
    </w:p>
    <w:p w:rsidR="007308C2" w:rsidRDefault="007308C2" w:rsidP="007308C2">
      <w:pPr>
        <w:jc w:val="both"/>
        <w:outlineLvl w:val="0"/>
        <w:rPr>
          <w:b/>
          <w:sz w:val="26"/>
          <w:szCs w:val="26"/>
          <w:u w:val="single"/>
        </w:rPr>
      </w:pPr>
    </w:p>
    <w:p w:rsidR="00E65087" w:rsidRDefault="00E65087" w:rsidP="007308C2">
      <w:pPr>
        <w:jc w:val="both"/>
        <w:outlineLvl w:val="0"/>
        <w:rPr>
          <w:b/>
          <w:sz w:val="26"/>
          <w:szCs w:val="26"/>
          <w:u w:val="single"/>
        </w:rPr>
      </w:pPr>
      <w:r w:rsidRPr="007308C2">
        <w:rPr>
          <w:b/>
          <w:sz w:val="26"/>
          <w:szCs w:val="26"/>
          <w:u w:val="single"/>
        </w:rPr>
        <w:lastRenderedPageBreak/>
        <w:t>Основные характеристики:</w:t>
      </w:r>
    </w:p>
    <w:p w:rsidR="007308C2" w:rsidRPr="007308C2" w:rsidRDefault="007308C2" w:rsidP="007308C2">
      <w:pPr>
        <w:jc w:val="both"/>
        <w:outlineLvl w:val="0"/>
        <w:rPr>
          <w:b/>
          <w:snapToGrid w:val="0"/>
          <w:color w:val="000000"/>
          <w:w w:val="0"/>
          <w:sz w:val="26"/>
          <w:szCs w:val="26"/>
          <w:u w:val="single"/>
          <w:bdr w:val="none" w:sz="0" w:space="0" w:color="000000"/>
          <w:shd w:val="clear" w:color="000000" w:fill="000000"/>
        </w:rPr>
      </w:pP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529"/>
      </w:tblGrid>
      <w:tr w:rsidR="00DC1CD0" w:rsidTr="004E391B">
        <w:tc>
          <w:tcPr>
            <w:tcW w:w="5103" w:type="dxa"/>
          </w:tcPr>
          <w:p w:rsidR="00DC1CD0" w:rsidRDefault="004D60CE" w:rsidP="007308C2">
            <w:pPr>
              <w:pStyle w:val="Style17"/>
              <w:tabs>
                <w:tab w:val="num" w:pos="567"/>
                <w:tab w:val="left" w:pos="3720"/>
              </w:tabs>
              <w:spacing w:line="240" w:lineRule="auto"/>
              <w:ind w:hanging="108"/>
              <w:rPr>
                <w:noProof/>
                <w:sz w:val="26"/>
                <w:szCs w:val="2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6C92CF9" wp14:editId="4ECF37AE">
                  <wp:extent cx="3158616" cy="2371411"/>
                  <wp:effectExtent l="19050" t="0" r="3684" b="0"/>
                  <wp:docPr id="2" name="Рисунок 2" descr="D:\Нормоконтроль\Ямбург 4 этап\для защиты\А750_0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рмоконтроль\Ямбург 4 этап\для защиты\А750_0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908" cy="2370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4D60CE" w:rsidRPr="004D60CE" w:rsidRDefault="004D60CE" w:rsidP="007308C2">
            <w:pPr>
              <w:pStyle w:val="Style17"/>
              <w:tabs>
                <w:tab w:val="left" w:pos="1276"/>
                <w:tab w:val="left" w:pos="3720"/>
              </w:tabs>
              <w:spacing w:line="240" w:lineRule="auto"/>
              <w:ind w:hanging="108"/>
              <w:rPr>
                <w:sz w:val="21"/>
                <w:szCs w:val="21"/>
              </w:rPr>
            </w:pPr>
            <w:r w:rsidRPr="004D60CE">
              <w:rPr>
                <w:sz w:val="21"/>
                <w:szCs w:val="21"/>
              </w:rPr>
              <w:t>Длина габаритная</w:t>
            </w:r>
            <w:r w:rsidRPr="004D60CE">
              <w:rPr>
                <w:sz w:val="21"/>
                <w:szCs w:val="21"/>
              </w:rPr>
              <w:tab/>
              <w:t>35,5 м</w:t>
            </w:r>
          </w:p>
          <w:p w:rsidR="004D60CE" w:rsidRPr="004D60CE" w:rsidRDefault="004D60CE" w:rsidP="007308C2">
            <w:pPr>
              <w:pStyle w:val="Style17"/>
              <w:tabs>
                <w:tab w:val="left" w:pos="1276"/>
                <w:tab w:val="left" w:pos="3720"/>
              </w:tabs>
              <w:spacing w:line="240" w:lineRule="auto"/>
              <w:ind w:hanging="108"/>
              <w:rPr>
                <w:sz w:val="21"/>
                <w:szCs w:val="21"/>
              </w:rPr>
            </w:pPr>
            <w:r w:rsidRPr="004D60CE">
              <w:rPr>
                <w:sz w:val="21"/>
                <w:szCs w:val="21"/>
              </w:rPr>
              <w:t>Ширина  габаритная</w:t>
            </w:r>
            <w:r w:rsidRPr="004D60CE">
              <w:rPr>
                <w:sz w:val="21"/>
                <w:szCs w:val="21"/>
              </w:rPr>
              <w:tab/>
              <w:t>13,5 м</w:t>
            </w:r>
          </w:p>
          <w:p w:rsidR="004D60CE" w:rsidRPr="004D60CE" w:rsidRDefault="004D60CE" w:rsidP="007308C2">
            <w:pPr>
              <w:pStyle w:val="Style17"/>
              <w:tabs>
                <w:tab w:val="left" w:pos="1276"/>
                <w:tab w:val="left" w:pos="3720"/>
              </w:tabs>
              <w:spacing w:line="240" w:lineRule="auto"/>
              <w:ind w:hanging="108"/>
              <w:rPr>
                <w:sz w:val="21"/>
                <w:szCs w:val="21"/>
              </w:rPr>
            </w:pPr>
            <w:r w:rsidRPr="004D60CE">
              <w:rPr>
                <w:sz w:val="21"/>
                <w:szCs w:val="21"/>
              </w:rPr>
              <w:t>Высота габаритна</w:t>
            </w:r>
            <w:proofErr w:type="gramStart"/>
            <w:r w:rsidRPr="004D60CE">
              <w:rPr>
                <w:sz w:val="21"/>
                <w:szCs w:val="21"/>
              </w:rPr>
              <w:t>я(</w:t>
            </w:r>
            <w:proofErr w:type="gramEnd"/>
            <w:r w:rsidRPr="004D60CE">
              <w:rPr>
                <w:sz w:val="21"/>
                <w:szCs w:val="21"/>
              </w:rPr>
              <w:t>без мачты)</w:t>
            </w:r>
            <w:r w:rsidRPr="004D60CE">
              <w:rPr>
                <w:sz w:val="21"/>
                <w:szCs w:val="21"/>
              </w:rPr>
              <w:tab/>
              <w:t>9,5 м</w:t>
            </w:r>
          </w:p>
          <w:p w:rsidR="004D60CE" w:rsidRPr="004D60CE" w:rsidRDefault="004D60CE" w:rsidP="007308C2">
            <w:pPr>
              <w:pStyle w:val="Style17"/>
              <w:tabs>
                <w:tab w:val="left" w:pos="1276"/>
                <w:tab w:val="left" w:pos="3720"/>
              </w:tabs>
              <w:spacing w:line="240" w:lineRule="auto"/>
              <w:ind w:hanging="108"/>
              <w:rPr>
                <w:sz w:val="21"/>
                <w:szCs w:val="21"/>
              </w:rPr>
            </w:pPr>
            <w:r w:rsidRPr="004D60CE">
              <w:rPr>
                <w:sz w:val="21"/>
                <w:szCs w:val="21"/>
              </w:rPr>
              <w:t xml:space="preserve">Грузоподъемность </w:t>
            </w:r>
            <w:r w:rsidRPr="004D60CE">
              <w:rPr>
                <w:sz w:val="21"/>
                <w:szCs w:val="21"/>
              </w:rPr>
              <w:tab/>
              <w:t>до 60 т</w:t>
            </w:r>
          </w:p>
          <w:p w:rsidR="004D60CE" w:rsidRPr="004D60CE" w:rsidRDefault="004D60CE" w:rsidP="007308C2">
            <w:pPr>
              <w:pStyle w:val="Style17"/>
              <w:tabs>
                <w:tab w:val="left" w:pos="1276"/>
                <w:tab w:val="left" w:pos="2586"/>
                <w:tab w:val="left" w:pos="2788"/>
                <w:tab w:val="left" w:pos="3720"/>
              </w:tabs>
              <w:spacing w:line="240" w:lineRule="auto"/>
              <w:ind w:hanging="108"/>
              <w:rPr>
                <w:sz w:val="21"/>
                <w:szCs w:val="21"/>
              </w:rPr>
            </w:pPr>
            <w:r w:rsidRPr="004D60CE">
              <w:rPr>
                <w:sz w:val="21"/>
                <w:szCs w:val="21"/>
              </w:rPr>
              <w:t>Количество пассажирских мест</w:t>
            </w:r>
            <w:r w:rsidRPr="004D60CE">
              <w:rPr>
                <w:sz w:val="21"/>
                <w:szCs w:val="21"/>
              </w:rPr>
              <w:tab/>
            </w:r>
            <w:r w:rsidRPr="004D60CE">
              <w:rPr>
                <w:sz w:val="21"/>
                <w:szCs w:val="21"/>
              </w:rPr>
              <w:tab/>
              <w:t>до 20 чел.</w:t>
            </w:r>
          </w:p>
          <w:p w:rsidR="004D60CE" w:rsidRPr="004D60CE" w:rsidRDefault="004D60CE" w:rsidP="007308C2">
            <w:pPr>
              <w:pStyle w:val="Style17"/>
              <w:tabs>
                <w:tab w:val="left" w:pos="3720"/>
              </w:tabs>
              <w:spacing w:line="240" w:lineRule="auto"/>
              <w:ind w:hanging="108"/>
              <w:rPr>
                <w:sz w:val="21"/>
                <w:szCs w:val="21"/>
              </w:rPr>
            </w:pPr>
            <w:r w:rsidRPr="004D60CE">
              <w:rPr>
                <w:sz w:val="21"/>
                <w:szCs w:val="21"/>
              </w:rPr>
              <w:t xml:space="preserve">Экипаж </w:t>
            </w:r>
            <w:r w:rsidRPr="004D60CE">
              <w:rPr>
                <w:sz w:val="21"/>
                <w:szCs w:val="21"/>
              </w:rPr>
              <w:tab/>
              <w:t>до 3 чел.</w:t>
            </w:r>
          </w:p>
          <w:p w:rsidR="004D60CE" w:rsidRPr="004D60CE" w:rsidRDefault="004D60CE" w:rsidP="007308C2">
            <w:pPr>
              <w:pStyle w:val="Style17"/>
              <w:tabs>
                <w:tab w:val="left" w:pos="3720"/>
              </w:tabs>
              <w:spacing w:line="240" w:lineRule="auto"/>
              <w:ind w:left="175" w:hanging="283"/>
              <w:rPr>
                <w:sz w:val="21"/>
                <w:szCs w:val="21"/>
              </w:rPr>
            </w:pPr>
            <w:r w:rsidRPr="004D60CE">
              <w:rPr>
                <w:sz w:val="21"/>
                <w:szCs w:val="21"/>
              </w:rPr>
              <w:t>Мощность маршевых двигателей, л.с.</w:t>
            </w:r>
            <w:r w:rsidRPr="004D60CE">
              <w:rPr>
                <w:sz w:val="21"/>
                <w:szCs w:val="21"/>
              </w:rPr>
              <w:tab/>
              <w:t>4х1200</w:t>
            </w:r>
          </w:p>
          <w:p w:rsidR="004D60CE" w:rsidRPr="004D60CE" w:rsidRDefault="004D60CE" w:rsidP="007308C2">
            <w:pPr>
              <w:pStyle w:val="Style17"/>
              <w:tabs>
                <w:tab w:val="left" w:pos="3720"/>
              </w:tabs>
              <w:spacing w:line="240" w:lineRule="auto"/>
              <w:ind w:hanging="108"/>
              <w:rPr>
                <w:sz w:val="21"/>
                <w:szCs w:val="21"/>
              </w:rPr>
            </w:pPr>
            <w:r w:rsidRPr="004D60CE">
              <w:rPr>
                <w:sz w:val="21"/>
                <w:szCs w:val="21"/>
              </w:rPr>
              <w:t>Мощность подъемных двигателей, л.с.</w:t>
            </w:r>
            <w:r w:rsidRPr="004D60CE">
              <w:rPr>
                <w:sz w:val="21"/>
                <w:szCs w:val="21"/>
              </w:rPr>
              <w:tab/>
              <w:t>2х1200</w:t>
            </w:r>
          </w:p>
          <w:p w:rsidR="004D60CE" w:rsidRPr="004D60CE" w:rsidRDefault="004D60CE" w:rsidP="007308C2">
            <w:pPr>
              <w:pStyle w:val="Style17"/>
              <w:tabs>
                <w:tab w:val="num" w:pos="567"/>
                <w:tab w:val="left" w:pos="3720"/>
              </w:tabs>
              <w:spacing w:line="240" w:lineRule="auto"/>
              <w:ind w:hanging="108"/>
              <w:rPr>
                <w:sz w:val="21"/>
                <w:szCs w:val="21"/>
              </w:rPr>
            </w:pPr>
            <w:r w:rsidRPr="004D60CE">
              <w:rPr>
                <w:sz w:val="21"/>
                <w:szCs w:val="21"/>
              </w:rPr>
              <w:t>Скорость по воде</w:t>
            </w:r>
            <w:r w:rsidRPr="004D60CE">
              <w:rPr>
                <w:sz w:val="21"/>
                <w:szCs w:val="21"/>
              </w:rPr>
              <w:tab/>
              <w:t xml:space="preserve">32,4 </w:t>
            </w:r>
            <w:proofErr w:type="spellStart"/>
            <w:r w:rsidRPr="004D60CE">
              <w:rPr>
                <w:sz w:val="21"/>
                <w:szCs w:val="21"/>
              </w:rPr>
              <w:t>узл</w:t>
            </w:r>
            <w:proofErr w:type="spellEnd"/>
            <w:r w:rsidRPr="004D60CE">
              <w:rPr>
                <w:sz w:val="21"/>
                <w:szCs w:val="21"/>
              </w:rPr>
              <w:t>.(60 км/ч)</w:t>
            </w:r>
          </w:p>
          <w:p w:rsidR="004D60CE" w:rsidRPr="004D60CE" w:rsidRDefault="004D60CE" w:rsidP="007308C2">
            <w:pPr>
              <w:pStyle w:val="Style17"/>
              <w:tabs>
                <w:tab w:val="num" w:pos="567"/>
                <w:tab w:val="left" w:pos="3720"/>
              </w:tabs>
              <w:spacing w:line="240" w:lineRule="auto"/>
              <w:ind w:hanging="108"/>
              <w:rPr>
                <w:sz w:val="21"/>
                <w:szCs w:val="21"/>
              </w:rPr>
            </w:pPr>
            <w:r w:rsidRPr="004D60CE">
              <w:rPr>
                <w:sz w:val="21"/>
                <w:szCs w:val="21"/>
              </w:rPr>
              <w:t>Скорость по льду</w:t>
            </w:r>
            <w:r w:rsidRPr="004D60CE">
              <w:rPr>
                <w:sz w:val="21"/>
                <w:szCs w:val="21"/>
              </w:rPr>
              <w:tab/>
              <w:t xml:space="preserve">37,8 </w:t>
            </w:r>
            <w:proofErr w:type="spellStart"/>
            <w:r w:rsidRPr="004D60CE">
              <w:rPr>
                <w:sz w:val="21"/>
                <w:szCs w:val="21"/>
              </w:rPr>
              <w:t>узл</w:t>
            </w:r>
            <w:proofErr w:type="spellEnd"/>
            <w:r w:rsidRPr="004D60CE">
              <w:rPr>
                <w:sz w:val="21"/>
                <w:szCs w:val="21"/>
              </w:rPr>
              <w:t>.(70 км/ч)</w:t>
            </w:r>
          </w:p>
          <w:p w:rsidR="004D60CE" w:rsidRPr="004D60CE" w:rsidRDefault="004D60CE" w:rsidP="007308C2">
            <w:pPr>
              <w:pStyle w:val="Style17"/>
              <w:tabs>
                <w:tab w:val="num" w:pos="567"/>
                <w:tab w:val="left" w:pos="3720"/>
              </w:tabs>
              <w:spacing w:line="240" w:lineRule="auto"/>
              <w:ind w:hanging="108"/>
              <w:rPr>
                <w:sz w:val="21"/>
                <w:szCs w:val="21"/>
              </w:rPr>
            </w:pPr>
            <w:r w:rsidRPr="004D60CE">
              <w:rPr>
                <w:sz w:val="21"/>
                <w:szCs w:val="21"/>
              </w:rPr>
              <w:t>Водоизмещение полное</w:t>
            </w:r>
            <w:r w:rsidRPr="004D60CE">
              <w:rPr>
                <w:sz w:val="21"/>
                <w:szCs w:val="21"/>
              </w:rPr>
              <w:tab/>
              <w:t>145,5 т</w:t>
            </w:r>
          </w:p>
          <w:p w:rsidR="004D60CE" w:rsidRPr="004D60CE" w:rsidRDefault="004D60CE" w:rsidP="007308C2">
            <w:pPr>
              <w:pStyle w:val="Style17"/>
              <w:tabs>
                <w:tab w:val="num" w:pos="567"/>
                <w:tab w:val="left" w:pos="3720"/>
              </w:tabs>
              <w:spacing w:line="240" w:lineRule="auto"/>
              <w:ind w:hanging="108"/>
              <w:rPr>
                <w:sz w:val="21"/>
                <w:szCs w:val="21"/>
              </w:rPr>
            </w:pPr>
            <w:r w:rsidRPr="004D60CE">
              <w:rPr>
                <w:sz w:val="21"/>
                <w:szCs w:val="21"/>
              </w:rPr>
              <w:t xml:space="preserve">Дальность хода </w:t>
            </w:r>
            <w:r w:rsidRPr="004D60CE">
              <w:rPr>
                <w:sz w:val="21"/>
                <w:szCs w:val="21"/>
              </w:rPr>
              <w:tab/>
              <w:t>600 км</w:t>
            </w:r>
          </w:p>
          <w:p w:rsidR="00DC1CD0" w:rsidRDefault="004D60CE" w:rsidP="007308C2">
            <w:pPr>
              <w:pStyle w:val="Style17"/>
              <w:tabs>
                <w:tab w:val="num" w:pos="567"/>
                <w:tab w:val="left" w:pos="3720"/>
              </w:tabs>
              <w:spacing w:line="240" w:lineRule="auto"/>
              <w:ind w:hanging="108"/>
              <w:rPr>
                <w:noProof/>
                <w:sz w:val="26"/>
                <w:szCs w:val="26"/>
                <w:u w:val="single"/>
              </w:rPr>
            </w:pPr>
            <w:r w:rsidRPr="004D60CE">
              <w:rPr>
                <w:sz w:val="21"/>
                <w:szCs w:val="21"/>
              </w:rPr>
              <w:t xml:space="preserve">Высота преодолеваемых препятствий </w:t>
            </w:r>
            <w:r w:rsidRPr="004D60CE">
              <w:rPr>
                <w:sz w:val="21"/>
                <w:szCs w:val="21"/>
              </w:rPr>
              <w:tab/>
              <w:t>до 1,2 м</w:t>
            </w:r>
          </w:p>
        </w:tc>
      </w:tr>
      <w:tr w:rsidR="004E391B" w:rsidTr="004E391B">
        <w:tc>
          <w:tcPr>
            <w:tcW w:w="5103" w:type="dxa"/>
          </w:tcPr>
          <w:p w:rsidR="004E391B" w:rsidRDefault="004E391B" w:rsidP="007308C2">
            <w:pPr>
              <w:pStyle w:val="Style17"/>
              <w:tabs>
                <w:tab w:val="num" w:pos="567"/>
                <w:tab w:val="left" w:pos="3720"/>
              </w:tabs>
              <w:spacing w:line="240" w:lineRule="auto"/>
              <w:ind w:hanging="108"/>
              <w:rPr>
                <w:noProof/>
              </w:rPr>
            </w:pPr>
            <w:r>
              <w:rPr>
                <w:noProof/>
                <w:sz w:val="26"/>
                <w:szCs w:val="26"/>
                <w:u w:val="single"/>
              </w:rPr>
              <w:drawing>
                <wp:inline distT="0" distB="0" distL="0" distR="0" wp14:anchorId="7E97E546" wp14:editId="2443B12E">
                  <wp:extent cx="3163102" cy="2372371"/>
                  <wp:effectExtent l="19050" t="0" r="0" b="0"/>
                  <wp:docPr id="3" name="Рисунок 1" descr="D:\Нормоконтроль\Ямбург 4 этап\для защиты\А750_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рмоконтроль\Ямбург 4 этап\для защиты\А750_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191" cy="2370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4E391B" w:rsidRPr="004D60CE" w:rsidRDefault="004E391B" w:rsidP="007308C2">
            <w:pPr>
              <w:pStyle w:val="Style17"/>
              <w:tabs>
                <w:tab w:val="left" w:pos="1276"/>
                <w:tab w:val="left" w:pos="3720"/>
              </w:tabs>
              <w:spacing w:line="240" w:lineRule="auto"/>
              <w:ind w:hanging="108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3F10A33" wp14:editId="61213438">
                  <wp:extent cx="3167155" cy="2376000"/>
                  <wp:effectExtent l="19050" t="0" r="0" b="0"/>
                  <wp:docPr id="4" name="Рисунок 3" descr="D:\Нормоконтроль\Ямбург 4 этап\для защиты\А750_05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рмоконтроль\Ямбург 4 этап\для защиты\А750_05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7155" cy="23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08C2" w:rsidRDefault="007308C2" w:rsidP="007308C2">
      <w:pPr>
        <w:outlineLvl w:val="0"/>
        <w:rPr>
          <w:b/>
          <w:sz w:val="26"/>
          <w:szCs w:val="26"/>
          <w:u w:val="single"/>
        </w:rPr>
      </w:pPr>
    </w:p>
    <w:p w:rsidR="00E174EC" w:rsidRDefault="00E174EC" w:rsidP="007308C2">
      <w:pPr>
        <w:outlineLvl w:val="0"/>
        <w:rPr>
          <w:b/>
          <w:sz w:val="26"/>
          <w:szCs w:val="26"/>
          <w:u w:val="single"/>
        </w:rPr>
      </w:pPr>
      <w:r w:rsidRPr="00F84D92">
        <w:rPr>
          <w:b/>
          <w:sz w:val="26"/>
          <w:szCs w:val="26"/>
          <w:u w:val="single"/>
        </w:rPr>
        <w:t>Область применения</w:t>
      </w:r>
    </w:p>
    <w:p w:rsidR="00A937B4" w:rsidRPr="00915DAB" w:rsidRDefault="00A937B4" w:rsidP="000D7B70">
      <w:pPr>
        <w:widowControl w:val="0"/>
        <w:tabs>
          <w:tab w:val="left" w:pos="851"/>
        </w:tabs>
        <w:spacing w:before="120"/>
        <w:ind w:firstLine="851"/>
        <w:jc w:val="both"/>
        <w:rPr>
          <w:color w:val="000000" w:themeColor="text1"/>
        </w:rPr>
      </w:pPr>
      <w:r w:rsidRPr="00915DAB">
        <w:rPr>
          <w:color w:val="000000" w:themeColor="text1"/>
        </w:rPr>
        <w:t xml:space="preserve">Круглогодичное, круглосуточное обеспечение </w:t>
      </w:r>
      <w:proofErr w:type="spellStart"/>
      <w:r w:rsidRPr="00915DAB">
        <w:rPr>
          <w:color w:val="000000" w:themeColor="text1"/>
        </w:rPr>
        <w:t>ледостойких</w:t>
      </w:r>
      <w:proofErr w:type="spellEnd"/>
      <w:r w:rsidRPr="00915DAB">
        <w:rPr>
          <w:color w:val="000000" w:themeColor="text1"/>
        </w:rPr>
        <w:t xml:space="preserve"> платформ на шельфе, в первую очередь, для проектов освоения месторождений природного газа в Обской губе, выполнение рейдовой разгрузки на необорудованный берег с судов снабжения на арктическом шельфе. Потенциальный заказчик ООО « Газпром-добыча Ямбург».</w:t>
      </w:r>
    </w:p>
    <w:p w:rsidR="00A937B4" w:rsidRDefault="00A937B4" w:rsidP="007308C2">
      <w:pPr>
        <w:widowControl w:val="0"/>
        <w:tabs>
          <w:tab w:val="left" w:pos="851"/>
        </w:tabs>
        <w:ind w:firstLine="851"/>
        <w:jc w:val="both"/>
        <w:rPr>
          <w:color w:val="000000" w:themeColor="text1"/>
        </w:rPr>
      </w:pPr>
      <w:r w:rsidRPr="00915DAB">
        <w:rPr>
          <w:color w:val="000000" w:themeColor="text1"/>
        </w:rPr>
        <w:t>Выполнение транспортных перевозок грузов по малым и магистральным рекам, а также в прибрежных морских районах Арктической зоны Российской Федерации</w:t>
      </w:r>
      <w:r w:rsidR="009051CD">
        <w:rPr>
          <w:color w:val="000000" w:themeColor="text1"/>
        </w:rPr>
        <w:t xml:space="preserve"> (АЗ РФ)</w:t>
      </w:r>
      <w:r w:rsidRPr="00915DAB">
        <w:rPr>
          <w:color w:val="000000" w:themeColor="text1"/>
        </w:rPr>
        <w:t>. Потенциальный заказчик ПАО «</w:t>
      </w:r>
      <w:proofErr w:type="spellStart"/>
      <w:r w:rsidRPr="00915DAB">
        <w:rPr>
          <w:color w:val="000000" w:themeColor="text1"/>
        </w:rPr>
        <w:t>Росатом</w:t>
      </w:r>
      <w:proofErr w:type="spellEnd"/>
      <w:r w:rsidRPr="00915DAB">
        <w:rPr>
          <w:color w:val="000000" w:themeColor="text1"/>
        </w:rPr>
        <w:t>», логистические компании.</w:t>
      </w:r>
    </w:p>
    <w:p w:rsidR="00E174EC" w:rsidRPr="004E391B" w:rsidRDefault="00E174EC" w:rsidP="007308C2">
      <w:pPr>
        <w:rPr>
          <w:sz w:val="26"/>
          <w:szCs w:val="26"/>
        </w:rPr>
      </w:pPr>
    </w:p>
    <w:p w:rsidR="00E174EC" w:rsidRPr="001434D0" w:rsidRDefault="00E174EC" w:rsidP="007308C2">
      <w:pPr>
        <w:spacing w:after="120"/>
        <w:outlineLvl w:val="0"/>
        <w:rPr>
          <w:b/>
          <w:sz w:val="26"/>
          <w:szCs w:val="26"/>
          <w:u w:val="single"/>
        </w:rPr>
      </w:pPr>
      <w:r w:rsidRPr="001434D0">
        <w:rPr>
          <w:b/>
          <w:sz w:val="26"/>
          <w:szCs w:val="26"/>
          <w:u w:val="single"/>
        </w:rPr>
        <w:t>Сведения о конкурент</w:t>
      </w:r>
      <w:r>
        <w:rPr>
          <w:b/>
          <w:sz w:val="26"/>
          <w:szCs w:val="26"/>
          <w:u w:val="single"/>
        </w:rPr>
        <w:t>оспособности</w:t>
      </w:r>
      <w:r w:rsidR="00C4790F">
        <w:rPr>
          <w:b/>
          <w:sz w:val="26"/>
          <w:szCs w:val="26"/>
          <w:u w:val="single"/>
        </w:rPr>
        <w:t>и возможности замещения импорта</w:t>
      </w:r>
    </w:p>
    <w:p w:rsidR="00CE21A3" w:rsidRPr="003D66F6" w:rsidRDefault="00CE21A3" w:rsidP="007308C2">
      <w:pPr>
        <w:ind w:firstLine="851"/>
        <w:jc w:val="both"/>
      </w:pPr>
      <w:r>
        <w:t xml:space="preserve">В настоящее время на рынке судов данного типа </w:t>
      </w:r>
      <w:r w:rsidR="009051CD">
        <w:t xml:space="preserve">отсутствуют амфибийные грузовые платформы, способные решать транспортные задачи в </w:t>
      </w:r>
      <w:r w:rsidR="001E6430">
        <w:t>антарктической зоне</w:t>
      </w:r>
      <w:r w:rsidR="009051CD">
        <w:t xml:space="preserve"> РФ</w:t>
      </w:r>
      <w:r>
        <w:t>.</w:t>
      </w:r>
    </w:p>
    <w:p w:rsidR="00CE21A3" w:rsidRPr="003D66F6" w:rsidRDefault="003D66F6" w:rsidP="007308C2">
      <w:pPr>
        <w:ind w:firstLine="851"/>
        <w:jc w:val="both"/>
      </w:pPr>
      <w:r w:rsidRPr="003D66F6">
        <w:t xml:space="preserve">Полеченные </w:t>
      </w:r>
      <w:r w:rsidR="009051CD">
        <w:t xml:space="preserve">экономические </w:t>
      </w:r>
      <w:r w:rsidRPr="003D66F6">
        <w:t>показатели при разработке технического проекта АСВП с ГО баллонетного типа грузоподъемностью 60 тонн</w:t>
      </w:r>
      <w:r>
        <w:t xml:space="preserve"> свидетельствуют об инвестиционной привлекательности </w:t>
      </w:r>
      <w:r w:rsidR="009051CD">
        <w:t>данного типа судов</w:t>
      </w:r>
      <w:r>
        <w:t xml:space="preserve"> при освоении месторождений</w:t>
      </w:r>
      <w:r w:rsidR="009051CD">
        <w:t xml:space="preserve"> на арктическом шельфе</w:t>
      </w:r>
      <w:r>
        <w:t>.</w:t>
      </w:r>
    </w:p>
    <w:sectPr w:rsidR="00CE21A3" w:rsidRPr="003D66F6" w:rsidSect="008E6D69">
      <w:footerReference w:type="default" r:id="rId11"/>
      <w:pgSz w:w="11906" w:h="16838"/>
      <w:pgMar w:top="851" w:right="566" w:bottom="568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69" w:rsidRDefault="008E6D69" w:rsidP="008E6D69">
      <w:r>
        <w:separator/>
      </w:r>
    </w:p>
  </w:endnote>
  <w:endnote w:type="continuationSeparator" w:id="0">
    <w:p w:rsidR="008E6D69" w:rsidRDefault="008E6D69" w:rsidP="008E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311316"/>
      <w:docPartObj>
        <w:docPartGallery w:val="Page Numbers (Bottom of Page)"/>
        <w:docPartUnique/>
      </w:docPartObj>
    </w:sdtPr>
    <w:sdtContent>
      <w:p w:rsidR="008E6D69" w:rsidRDefault="008E6D69" w:rsidP="008E6D6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69" w:rsidRDefault="008E6D69" w:rsidP="008E6D69">
      <w:r>
        <w:separator/>
      </w:r>
    </w:p>
  </w:footnote>
  <w:footnote w:type="continuationSeparator" w:id="0">
    <w:p w:rsidR="008E6D69" w:rsidRDefault="008E6D69" w:rsidP="008E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736"/>
    <w:multiLevelType w:val="hybridMultilevel"/>
    <w:tmpl w:val="545CDA2E"/>
    <w:lvl w:ilvl="0" w:tplc="CFB85650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>
    <w:nsid w:val="0C925FFE"/>
    <w:multiLevelType w:val="hybridMultilevel"/>
    <w:tmpl w:val="C90A3D36"/>
    <w:lvl w:ilvl="0" w:tplc="AF0A95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C1A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0E6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49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47D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63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00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4810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3A9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75B95"/>
    <w:multiLevelType w:val="hybridMultilevel"/>
    <w:tmpl w:val="3FAE716A"/>
    <w:lvl w:ilvl="0" w:tplc="6C382CE2">
      <w:start w:val="1"/>
      <w:numFmt w:val="russianLower"/>
      <w:lvlText w:val="%1)"/>
      <w:lvlJc w:val="left"/>
      <w:pPr>
        <w:ind w:left="1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71DB8"/>
    <w:multiLevelType w:val="hybridMultilevel"/>
    <w:tmpl w:val="AD60C328"/>
    <w:lvl w:ilvl="0" w:tplc="3CD4164A">
      <w:start w:val="1"/>
      <w:numFmt w:val="russianLower"/>
      <w:lvlText w:val="%1)"/>
      <w:lvlJc w:val="left"/>
      <w:pPr>
        <w:ind w:left="136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>
    <w:nsid w:val="32F2311F"/>
    <w:multiLevelType w:val="hybridMultilevel"/>
    <w:tmpl w:val="47446B7A"/>
    <w:lvl w:ilvl="0" w:tplc="63D2C8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073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C971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4835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09F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6C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8FB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CF0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48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0B6000"/>
    <w:multiLevelType w:val="hybridMultilevel"/>
    <w:tmpl w:val="4E62592E"/>
    <w:lvl w:ilvl="0" w:tplc="69C63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C7290"/>
    <w:multiLevelType w:val="multilevel"/>
    <w:tmpl w:val="BAFA8FE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>
    <w:nsid w:val="6AF0597F"/>
    <w:multiLevelType w:val="hybridMultilevel"/>
    <w:tmpl w:val="49BC3A4E"/>
    <w:lvl w:ilvl="0" w:tplc="107A96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3A78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A4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4F9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EA0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40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0AF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C7B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AC0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EF6060"/>
    <w:multiLevelType w:val="hybridMultilevel"/>
    <w:tmpl w:val="6FB87C7E"/>
    <w:lvl w:ilvl="0" w:tplc="667E662A">
      <w:start w:val="4"/>
      <w:numFmt w:val="bullet"/>
      <w:lvlText w:val="-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6B5634"/>
    <w:multiLevelType w:val="hybridMultilevel"/>
    <w:tmpl w:val="AF2826FE"/>
    <w:lvl w:ilvl="0" w:tplc="63D2C8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073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461B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835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09F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6C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8FB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CF0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48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712C76"/>
    <w:multiLevelType w:val="hybridMultilevel"/>
    <w:tmpl w:val="F1A61154"/>
    <w:lvl w:ilvl="0" w:tplc="1D9C2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6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52A8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E11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8B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94B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A64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8BD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0B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51"/>
    <w:rsid w:val="00013A05"/>
    <w:rsid w:val="000D7B70"/>
    <w:rsid w:val="0015537D"/>
    <w:rsid w:val="00175329"/>
    <w:rsid w:val="001E6430"/>
    <w:rsid w:val="00256C14"/>
    <w:rsid w:val="00272B85"/>
    <w:rsid w:val="00362577"/>
    <w:rsid w:val="00371E1B"/>
    <w:rsid w:val="003D66F6"/>
    <w:rsid w:val="004155A1"/>
    <w:rsid w:val="00423A6E"/>
    <w:rsid w:val="004D60CE"/>
    <w:rsid w:val="004E391B"/>
    <w:rsid w:val="00623567"/>
    <w:rsid w:val="00651751"/>
    <w:rsid w:val="00670AE1"/>
    <w:rsid w:val="006F57E5"/>
    <w:rsid w:val="007308C2"/>
    <w:rsid w:val="00740B10"/>
    <w:rsid w:val="0080403C"/>
    <w:rsid w:val="008269FF"/>
    <w:rsid w:val="0083451F"/>
    <w:rsid w:val="008564AC"/>
    <w:rsid w:val="0088139D"/>
    <w:rsid w:val="008E6D69"/>
    <w:rsid w:val="009051CD"/>
    <w:rsid w:val="00983D13"/>
    <w:rsid w:val="00A937B4"/>
    <w:rsid w:val="00B13C04"/>
    <w:rsid w:val="00B567E2"/>
    <w:rsid w:val="00BD7E05"/>
    <w:rsid w:val="00C42134"/>
    <w:rsid w:val="00C4790F"/>
    <w:rsid w:val="00CE21A3"/>
    <w:rsid w:val="00CF3814"/>
    <w:rsid w:val="00DB43E7"/>
    <w:rsid w:val="00DC1CD0"/>
    <w:rsid w:val="00DE2C21"/>
    <w:rsid w:val="00DF5110"/>
    <w:rsid w:val="00E174EC"/>
    <w:rsid w:val="00E3114A"/>
    <w:rsid w:val="00E65087"/>
    <w:rsid w:val="00EA485E"/>
    <w:rsid w:val="00FC437E"/>
    <w:rsid w:val="00FC630D"/>
    <w:rsid w:val="00FD3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 Знак,Head 1 Знак Знак Знак,????????? 1 Знак Знак Знак Знак,????????? 1 Знак1 Знак Знак,Head 1 Знак1 Знак,????????? 1 Знак Знак,????????? 1 Знак Знак1,Заголовок 1 Знак1,Заг 1,CC-Заголовок 1,§1.,Заголовок 1-сс"/>
    <w:basedOn w:val="a"/>
    <w:next w:val="a"/>
    <w:link w:val="10"/>
    <w:qFormat/>
    <w:rsid w:val="00E6508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CC-Заголовок 2,§1.1"/>
    <w:basedOn w:val="a"/>
    <w:next w:val="a"/>
    <w:link w:val="20"/>
    <w:unhideWhenUsed/>
    <w:qFormat/>
    <w:rsid w:val="00E6508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508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6508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6508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E6508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6508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508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Список лит-ры"/>
    <w:basedOn w:val="a"/>
    <w:next w:val="a"/>
    <w:link w:val="90"/>
    <w:unhideWhenUsed/>
    <w:qFormat/>
    <w:rsid w:val="00E6508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12"/>
    <w:qFormat/>
    <w:rsid w:val="00670AE1"/>
    <w:pPr>
      <w:widowControl w:val="0"/>
      <w:spacing w:line="240" w:lineRule="auto"/>
      <w:ind w:left="120" w:firstLine="560"/>
      <w:jc w:val="left"/>
    </w:pPr>
    <w:rPr>
      <w:rFonts w:ascii="Arial" w:eastAsia="Times New Roman" w:hAnsi="Arial" w:cs="Times New Roman"/>
      <w:szCs w:val="20"/>
      <w:lang w:eastAsia="ru-RU"/>
    </w:rPr>
  </w:style>
  <w:style w:type="character" w:customStyle="1" w:styleId="12">
    <w:name w:val="Обычный1 Знак"/>
    <w:link w:val="11"/>
    <w:locked/>
    <w:rsid w:val="00670AE1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2"/>
    <w:basedOn w:val="a"/>
    <w:link w:val="22"/>
    <w:uiPriority w:val="99"/>
    <w:rsid w:val="00670AE1"/>
    <w:pPr>
      <w:shd w:val="clear" w:color="auto" w:fill="FFFFFF"/>
      <w:spacing w:before="120"/>
    </w:pPr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70AE1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character" w:customStyle="1" w:styleId="10">
    <w:name w:val="Заголовок 1 Знак"/>
    <w:aliases w:val="Заголовок 1 Знак1 Знак Знак,Head 1 Знак Знак Знак Знак,????????? 1 Знак Знак Знак Знак Знак,????????? 1 Знак1 Знак Знак Знак,Head 1 Знак1 Знак Знак,????????? 1 Знак Знак Знак,????????? 1 Знак Знак1 Знак,Заголовок 1 Знак1 Знак1,§1. Знак"/>
    <w:basedOn w:val="a0"/>
    <w:link w:val="1"/>
    <w:rsid w:val="00E65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CC-Заголовок 2 Знак,§1.1 Знак"/>
    <w:basedOn w:val="a0"/>
    <w:link w:val="2"/>
    <w:rsid w:val="00E65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650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50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50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6508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6508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6508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aliases w:val="Список лит-ры Знак"/>
    <w:basedOn w:val="a0"/>
    <w:link w:val="9"/>
    <w:rsid w:val="00E650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E65087"/>
    <w:pPr>
      <w:widowControl w:val="0"/>
      <w:autoSpaceDE w:val="0"/>
      <w:autoSpaceDN w:val="0"/>
      <w:adjustRightInd w:val="0"/>
      <w:spacing w:line="234" w:lineRule="exact"/>
      <w:ind w:firstLine="1116"/>
      <w:jc w:val="both"/>
    </w:pPr>
  </w:style>
  <w:style w:type="table" w:styleId="a3">
    <w:name w:val="Table Grid"/>
    <w:basedOn w:val="a1"/>
    <w:uiPriority w:val="59"/>
    <w:rsid w:val="00E650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7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23A6E"/>
    <w:pPr>
      <w:ind w:left="720"/>
      <w:contextualSpacing/>
    </w:pPr>
    <w:rPr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423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83451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3451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E6D6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6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E6D6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6D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 Знак,Head 1 Знак Знак Знак,????????? 1 Знак Знак Знак Знак,????????? 1 Знак1 Знак Знак,Head 1 Знак1 Знак,????????? 1 Знак Знак,????????? 1 Знак Знак1,Заголовок 1 Знак1,Заг 1,CC-Заголовок 1,§1.,Заголовок 1-сс"/>
    <w:basedOn w:val="a"/>
    <w:next w:val="a"/>
    <w:link w:val="10"/>
    <w:qFormat/>
    <w:rsid w:val="00E6508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CC-Заголовок 2,§1.1"/>
    <w:basedOn w:val="a"/>
    <w:next w:val="a"/>
    <w:link w:val="20"/>
    <w:unhideWhenUsed/>
    <w:qFormat/>
    <w:rsid w:val="00E6508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508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6508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6508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E6508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6508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508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Список лит-ры"/>
    <w:basedOn w:val="a"/>
    <w:next w:val="a"/>
    <w:link w:val="90"/>
    <w:unhideWhenUsed/>
    <w:qFormat/>
    <w:rsid w:val="00E6508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12"/>
    <w:qFormat/>
    <w:rsid w:val="00670AE1"/>
    <w:pPr>
      <w:widowControl w:val="0"/>
      <w:spacing w:line="240" w:lineRule="auto"/>
      <w:ind w:left="120" w:firstLine="560"/>
      <w:jc w:val="left"/>
    </w:pPr>
    <w:rPr>
      <w:rFonts w:ascii="Arial" w:eastAsia="Times New Roman" w:hAnsi="Arial" w:cs="Times New Roman"/>
      <w:szCs w:val="20"/>
      <w:lang w:eastAsia="ru-RU"/>
    </w:rPr>
  </w:style>
  <w:style w:type="character" w:customStyle="1" w:styleId="12">
    <w:name w:val="Обычный1 Знак"/>
    <w:link w:val="11"/>
    <w:locked/>
    <w:rsid w:val="00670AE1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2"/>
    <w:basedOn w:val="a"/>
    <w:link w:val="22"/>
    <w:uiPriority w:val="99"/>
    <w:rsid w:val="00670AE1"/>
    <w:pPr>
      <w:shd w:val="clear" w:color="auto" w:fill="FFFFFF"/>
      <w:spacing w:before="120"/>
    </w:pPr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70AE1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character" w:customStyle="1" w:styleId="10">
    <w:name w:val="Заголовок 1 Знак"/>
    <w:aliases w:val="Заголовок 1 Знак1 Знак Знак,Head 1 Знак Знак Знак Знак,????????? 1 Знак Знак Знак Знак Знак,????????? 1 Знак1 Знак Знак Знак,Head 1 Знак1 Знак Знак,????????? 1 Знак Знак Знак,????????? 1 Знак Знак1 Знак,Заголовок 1 Знак1 Знак1,§1. Знак"/>
    <w:basedOn w:val="a0"/>
    <w:link w:val="1"/>
    <w:rsid w:val="00E65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CC-Заголовок 2 Знак,§1.1 Знак"/>
    <w:basedOn w:val="a0"/>
    <w:link w:val="2"/>
    <w:rsid w:val="00E65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650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50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50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6508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6508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6508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aliases w:val="Список лит-ры Знак"/>
    <w:basedOn w:val="a0"/>
    <w:link w:val="9"/>
    <w:rsid w:val="00E650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E65087"/>
    <w:pPr>
      <w:widowControl w:val="0"/>
      <w:autoSpaceDE w:val="0"/>
      <w:autoSpaceDN w:val="0"/>
      <w:adjustRightInd w:val="0"/>
      <w:spacing w:line="234" w:lineRule="exact"/>
      <w:ind w:firstLine="1116"/>
      <w:jc w:val="both"/>
    </w:pPr>
  </w:style>
  <w:style w:type="table" w:styleId="a3">
    <w:name w:val="Table Grid"/>
    <w:basedOn w:val="a1"/>
    <w:uiPriority w:val="59"/>
    <w:rsid w:val="00E650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7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23A6E"/>
    <w:pPr>
      <w:ind w:left="720"/>
      <w:contextualSpacing/>
    </w:pPr>
    <w:rPr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423A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Давыдкина А.А.</dc:creator>
  <cp:lastModifiedBy>Марина</cp:lastModifiedBy>
  <cp:revision>14</cp:revision>
  <cp:lastPrinted>2017-11-27T10:46:00Z</cp:lastPrinted>
  <dcterms:created xsi:type="dcterms:W3CDTF">2017-11-20T12:56:00Z</dcterms:created>
  <dcterms:modified xsi:type="dcterms:W3CDTF">2017-11-27T10:46:00Z</dcterms:modified>
</cp:coreProperties>
</file>